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4621F" w14:textId="77777777" w:rsidR="00D66AD3" w:rsidRDefault="00D66AD3" w:rsidP="00AA0EC5">
      <w:pPr>
        <w:pStyle w:val="BodyText"/>
      </w:pPr>
    </w:p>
    <w:p w14:paraId="00E533C8" w14:textId="77777777" w:rsidR="00D66AD3" w:rsidRDefault="00D66AD3" w:rsidP="00AA0EC5">
      <w:pPr>
        <w:pStyle w:val="BodyText"/>
      </w:pPr>
    </w:p>
    <w:p w14:paraId="74001E26" w14:textId="77777777" w:rsidR="00D66AD3" w:rsidRDefault="00D66AD3" w:rsidP="00AA0EC5">
      <w:pPr>
        <w:pStyle w:val="BodyText"/>
      </w:pPr>
    </w:p>
    <w:p w14:paraId="4391953C" w14:textId="77777777" w:rsidR="00D66AD3" w:rsidRPr="00174034" w:rsidRDefault="00B04FC3" w:rsidP="00174034">
      <w:pPr>
        <w:pStyle w:val="BodyText"/>
        <w:jc w:val="center"/>
        <w:rPr>
          <w:b/>
          <w:bCs/>
        </w:rPr>
      </w:pPr>
      <w:r w:rsidRPr="00174034">
        <w:rPr>
          <w:b/>
          <w:bCs/>
        </w:rPr>
        <w:t>A</w:t>
      </w:r>
      <w:r w:rsidR="00AA12A9" w:rsidRPr="00174034">
        <w:rPr>
          <w:b/>
          <w:bCs/>
        </w:rPr>
        <w:t xml:space="preserve"> MODEL OF THE DYNAMICS OF SUBGROUP INFLUENCE ON BOARDS</w:t>
      </w:r>
    </w:p>
    <w:p w14:paraId="431706B9" w14:textId="77777777" w:rsidR="00174034" w:rsidRPr="00596413" w:rsidRDefault="00174034" w:rsidP="00174034">
      <w:pPr>
        <w:pStyle w:val="BodyText"/>
        <w:jc w:val="center"/>
      </w:pPr>
    </w:p>
    <w:p w14:paraId="6569BE92" w14:textId="77777777" w:rsidR="00D66AD3" w:rsidRPr="00596413" w:rsidRDefault="00B04FC3" w:rsidP="00174034">
      <w:pPr>
        <w:pStyle w:val="BodyText"/>
        <w:jc w:val="center"/>
      </w:pPr>
      <w:r w:rsidRPr="00596413">
        <w:t>J</w:t>
      </w:r>
      <w:r w:rsidR="00AA12A9" w:rsidRPr="00596413">
        <w:t>ULIA MORLEY</w:t>
      </w:r>
    </w:p>
    <w:p w14:paraId="24C0DF4D" w14:textId="77777777" w:rsidR="00D66AD3" w:rsidRDefault="006C774C" w:rsidP="00174034">
      <w:pPr>
        <w:pStyle w:val="BodyText"/>
        <w:jc w:val="center"/>
        <w:rPr>
          <w:spacing w:val="-2"/>
        </w:rPr>
      </w:pPr>
      <w:r w:rsidRPr="00596413">
        <w:t>London</w:t>
      </w:r>
      <w:r w:rsidRPr="00596413">
        <w:rPr>
          <w:spacing w:val="-7"/>
        </w:rPr>
        <w:t xml:space="preserve"> </w:t>
      </w:r>
      <w:r w:rsidRPr="00596413">
        <w:t>School</w:t>
      </w:r>
      <w:r w:rsidRPr="00596413">
        <w:rPr>
          <w:spacing w:val="-7"/>
        </w:rPr>
        <w:t xml:space="preserve"> </w:t>
      </w:r>
      <w:r w:rsidRPr="00596413">
        <w:t>of</w:t>
      </w:r>
      <w:r w:rsidRPr="00596413">
        <w:rPr>
          <w:spacing w:val="-7"/>
        </w:rPr>
        <w:t xml:space="preserve"> </w:t>
      </w:r>
      <w:r w:rsidRPr="00596413">
        <w:t>Economics</w:t>
      </w:r>
      <w:r w:rsidRPr="00596413">
        <w:rPr>
          <w:spacing w:val="-7"/>
        </w:rPr>
        <w:t xml:space="preserve"> </w:t>
      </w:r>
      <w:r w:rsidRPr="00596413">
        <w:t>and</w:t>
      </w:r>
      <w:r w:rsidRPr="00596413">
        <w:rPr>
          <w:spacing w:val="-7"/>
        </w:rPr>
        <w:t xml:space="preserve"> </w:t>
      </w:r>
      <w:r w:rsidRPr="00596413">
        <w:t>Political</w:t>
      </w:r>
      <w:r w:rsidRPr="00596413">
        <w:rPr>
          <w:spacing w:val="-7"/>
        </w:rPr>
        <w:t xml:space="preserve"> </w:t>
      </w:r>
      <w:r w:rsidRPr="00596413">
        <w:rPr>
          <w:spacing w:val="-2"/>
        </w:rPr>
        <w:t>Science</w:t>
      </w:r>
    </w:p>
    <w:p w14:paraId="164354E8" w14:textId="77777777" w:rsidR="0021612E" w:rsidRPr="00596413" w:rsidRDefault="0021612E" w:rsidP="00174034">
      <w:pPr>
        <w:pStyle w:val="BodyText"/>
        <w:jc w:val="center"/>
      </w:pPr>
      <w:r>
        <w:rPr>
          <w:spacing w:val="-2"/>
        </w:rPr>
        <w:t>Department of Accounting, London, WC2A 2AE, United Kingdom</w:t>
      </w:r>
    </w:p>
    <w:p w14:paraId="301D0A25" w14:textId="77777777" w:rsidR="00D66AD3" w:rsidRPr="00596413" w:rsidRDefault="00D66AD3" w:rsidP="00174034">
      <w:pPr>
        <w:pStyle w:val="BodyText"/>
        <w:jc w:val="center"/>
      </w:pPr>
    </w:p>
    <w:p w14:paraId="651AFA51" w14:textId="77777777" w:rsidR="00D66AD3" w:rsidRPr="00596413" w:rsidRDefault="00B04FC3" w:rsidP="00174034">
      <w:pPr>
        <w:pStyle w:val="BodyText"/>
        <w:jc w:val="center"/>
      </w:pPr>
      <w:r w:rsidRPr="00596413">
        <w:t>J.</w:t>
      </w:r>
      <w:r w:rsidRPr="00596413">
        <w:rPr>
          <w:spacing w:val="10"/>
        </w:rPr>
        <w:t xml:space="preserve"> </w:t>
      </w:r>
      <w:r w:rsidRPr="00596413">
        <w:t>M</w:t>
      </w:r>
      <w:r w:rsidR="00AA12A9" w:rsidRPr="00596413">
        <w:t>CKENZIE ALEXANDER</w:t>
      </w:r>
    </w:p>
    <w:p w14:paraId="5701DD33" w14:textId="77777777" w:rsidR="00D66AD3" w:rsidRPr="00596413" w:rsidRDefault="00B04FC3" w:rsidP="00174034">
      <w:pPr>
        <w:pStyle w:val="BodyText"/>
        <w:jc w:val="center"/>
        <w:rPr>
          <w:rFonts w:ascii="Courier New"/>
        </w:rPr>
      </w:pPr>
      <w:r w:rsidRPr="00596413">
        <w:t>London School of Economics and Political Science</w:t>
      </w:r>
    </w:p>
    <w:p w14:paraId="7D8FDD51" w14:textId="77777777" w:rsidR="00D66AD3" w:rsidRPr="00596413" w:rsidRDefault="00D66AD3" w:rsidP="00AA0EC5">
      <w:pPr>
        <w:pStyle w:val="BodyText"/>
      </w:pPr>
    </w:p>
    <w:p w14:paraId="132A6CEE" w14:textId="77777777" w:rsidR="00596413" w:rsidRPr="00AE57E5" w:rsidRDefault="00996543" w:rsidP="00605D01">
      <w:pPr>
        <w:pStyle w:val="Heading1"/>
      </w:pPr>
      <w:r w:rsidRPr="00AE57E5">
        <w:t>INTRODUCTION</w:t>
      </w:r>
    </w:p>
    <w:p w14:paraId="5DA1ADB7" w14:textId="77777777" w:rsidR="00AE57E5" w:rsidRPr="00596413" w:rsidRDefault="00AE57E5" w:rsidP="00AE57E5">
      <w:pPr>
        <w:pStyle w:val="BodyText"/>
      </w:pPr>
    </w:p>
    <w:p w14:paraId="1E923BB8" w14:textId="7530A7F0" w:rsidR="00D66AD3" w:rsidRDefault="00B04FC3" w:rsidP="00AA0EC5">
      <w:pPr>
        <w:pStyle w:val="BodyText"/>
      </w:pPr>
      <w:r>
        <w:t>Are</w:t>
      </w:r>
      <w:r>
        <w:rPr>
          <w:spacing w:val="-7"/>
        </w:rPr>
        <w:t xml:space="preserve"> </w:t>
      </w:r>
      <w:r>
        <w:t>corporate</w:t>
      </w:r>
      <w:r>
        <w:rPr>
          <w:spacing w:val="-7"/>
        </w:rPr>
        <w:t xml:space="preserve"> </w:t>
      </w:r>
      <w:r>
        <w:t>governance</w:t>
      </w:r>
      <w:r>
        <w:rPr>
          <w:spacing w:val="-7"/>
        </w:rPr>
        <w:t xml:space="preserve"> </w:t>
      </w:r>
      <w:r>
        <w:t>regulations</w:t>
      </w:r>
      <w:r>
        <w:rPr>
          <w:spacing w:val="-7"/>
        </w:rPr>
        <w:t xml:space="preserve"> </w:t>
      </w:r>
      <w:r>
        <w:t>which</w:t>
      </w:r>
      <w:r>
        <w:rPr>
          <w:spacing w:val="-7"/>
        </w:rPr>
        <w:t xml:space="preserve"> </w:t>
      </w:r>
      <w:r>
        <w:t>aim</w:t>
      </w:r>
      <w:r>
        <w:rPr>
          <w:spacing w:val="-7"/>
        </w:rPr>
        <w:t xml:space="preserve"> </w:t>
      </w:r>
      <w:r>
        <w:t>at</w:t>
      </w:r>
      <w:r>
        <w:rPr>
          <w:spacing w:val="-7"/>
        </w:rPr>
        <w:t xml:space="preserve"> </w:t>
      </w:r>
      <w:r>
        <w:t>ensuring</w:t>
      </w:r>
      <w:r>
        <w:rPr>
          <w:spacing w:val="-7"/>
        </w:rPr>
        <w:t xml:space="preserve"> </w:t>
      </w:r>
      <w:r>
        <w:t>the</w:t>
      </w:r>
      <w:r>
        <w:rPr>
          <w:spacing w:val="-7"/>
        </w:rPr>
        <w:t xml:space="preserve"> </w:t>
      </w:r>
      <w:r>
        <w:t>effectiveness</w:t>
      </w:r>
      <w:r>
        <w:rPr>
          <w:spacing w:val="-7"/>
        </w:rPr>
        <w:t xml:space="preserve"> </w:t>
      </w:r>
      <w:r>
        <w:t>of</w:t>
      </w:r>
      <w:r>
        <w:rPr>
          <w:spacing w:val="-7"/>
        </w:rPr>
        <w:t xml:space="preserve"> </w:t>
      </w:r>
      <w:r>
        <w:t>corporate</w:t>
      </w:r>
      <w:r>
        <w:rPr>
          <w:spacing w:val="-7"/>
        </w:rPr>
        <w:t xml:space="preserve"> </w:t>
      </w:r>
      <w:r>
        <w:t>boards sufficient</w:t>
      </w:r>
      <w:r>
        <w:rPr>
          <w:spacing w:val="-9"/>
        </w:rPr>
        <w:t xml:space="preserve"> </w:t>
      </w:r>
      <w:r>
        <w:t>to</w:t>
      </w:r>
      <w:r>
        <w:rPr>
          <w:spacing w:val="-9"/>
        </w:rPr>
        <w:t xml:space="preserve"> </w:t>
      </w:r>
      <w:r>
        <w:t>ensure</w:t>
      </w:r>
      <w:r>
        <w:rPr>
          <w:spacing w:val="-9"/>
        </w:rPr>
        <w:t xml:space="preserve"> </w:t>
      </w:r>
      <w:r>
        <w:t>effective</w:t>
      </w:r>
      <w:r>
        <w:rPr>
          <w:spacing w:val="-9"/>
        </w:rPr>
        <w:t xml:space="preserve"> </w:t>
      </w:r>
      <w:r>
        <w:t>group</w:t>
      </w:r>
      <w:r>
        <w:rPr>
          <w:spacing w:val="-9"/>
        </w:rPr>
        <w:t xml:space="preserve"> </w:t>
      </w:r>
      <w:r>
        <w:t>decision-making? To</w:t>
      </w:r>
      <w:r>
        <w:rPr>
          <w:spacing w:val="-9"/>
        </w:rPr>
        <w:t xml:space="preserve"> </w:t>
      </w:r>
      <w:r>
        <w:t>answer</w:t>
      </w:r>
      <w:r>
        <w:rPr>
          <w:spacing w:val="-9"/>
        </w:rPr>
        <w:t xml:space="preserve"> </w:t>
      </w:r>
      <w:r>
        <w:t>this</w:t>
      </w:r>
      <w:r>
        <w:rPr>
          <w:spacing w:val="-9"/>
        </w:rPr>
        <w:t xml:space="preserve"> </w:t>
      </w:r>
      <w:r>
        <w:t>question,</w:t>
      </w:r>
      <w:r>
        <w:rPr>
          <w:spacing w:val="-8"/>
        </w:rPr>
        <w:t xml:space="preserve"> </w:t>
      </w:r>
      <w:r>
        <w:t>we</w:t>
      </w:r>
      <w:r>
        <w:rPr>
          <w:spacing w:val="-9"/>
        </w:rPr>
        <w:t xml:space="preserve"> </w:t>
      </w:r>
      <w:r>
        <w:t>develop</w:t>
      </w:r>
      <w:r>
        <w:rPr>
          <w:spacing w:val="-9"/>
        </w:rPr>
        <w:t xml:space="preserve"> </w:t>
      </w:r>
      <w:r>
        <w:t>an</w:t>
      </w:r>
      <w:r>
        <w:rPr>
          <w:spacing w:val="-9"/>
        </w:rPr>
        <w:t xml:space="preserve"> </w:t>
      </w:r>
      <w:r>
        <w:t>empirically</w:t>
      </w:r>
      <w:r>
        <w:rPr>
          <w:spacing w:val="-3"/>
        </w:rPr>
        <w:t xml:space="preserve"> </w:t>
      </w:r>
      <w:r>
        <w:t>informed</w:t>
      </w:r>
      <w:r>
        <w:rPr>
          <w:spacing w:val="-3"/>
        </w:rPr>
        <w:t xml:space="preserve"> </w:t>
      </w:r>
      <w:r>
        <w:t>agent-based</w:t>
      </w:r>
      <w:r>
        <w:rPr>
          <w:spacing w:val="-3"/>
        </w:rPr>
        <w:t xml:space="preserve"> </w:t>
      </w:r>
      <w:r>
        <w:t>model</w:t>
      </w:r>
      <w:r>
        <w:rPr>
          <w:spacing w:val="-3"/>
        </w:rPr>
        <w:t xml:space="preserve"> </w:t>
      </w:r>
      <w:r>
        <w:t>which</w:t>
      </w:r>
      <w:r>
        <w:rPr>
          <w:spacing w:val="-3"/>
        </w:rPr>
        <w:t xml:space="preserve"> </w:t>
      </w:r>
      <w:r>
        <w:t>demonstrates</w:t>
      </w:r>
      <w:r>
        <w:rPr>
          <w:spacing w:val="-3"/>
        </w:rPr>
        <w:t xml:space="preserve"> </w:t>
      </w:r>
      <w:r>
        <w:t>how</w:t>
      </w:r>
      <w:r>
        <w:rPr>
          <w:spacing w:val="-3"/>
        </w:rPr>
        <w:t xml:space="preserve"> </w:t>
      </w:r>
      <w:r>
        <w:t>it</w:t>
      </w:r>
      <w:r>
        <w:rPr>
          <w:spacing w:val="-3"/>
        </w:rPr>
        <w:t xml:space="preserve"> </w:t>
      </w:r>
      <w:r>
        <w:t>is</w:t>
      </w:r>
      <w:r>
        <w:rPr>
          <w:spacing w:val="-3"/>
        </w:rPr>
        <w:t xml:space="preserve"> </w:t>
      </w:r>
      <w:r>
        <w:t>possible</w:t>
      </w:r>
      <w:r>
        <w:rPr>
          <w:spacing w:val="-3"/>
        </w:rPr>
        <w:t xml:space="preserve"> </w:t>
      </w:r>
      <w:r>
        <w:t>for</w:t>
      </w:r>
      <w:r>
        <w:rPr>
          <w:spacing w:val="-3"/>
        </w:rPr>
        <w:t xml:space="preserve"> </w:t>
      </w:r>
      <w:r>
        <w:t>a</w:t>
      </w:r>
      <w:r>
        <w:rPr>
          <w:spacing w:val="-3"/>
        </w:rPr>
        <w:t xml:space="preserve"> </w:t>
      </w:r>
      <w:r>
        <w:t>small</w:t>
      </w:r>
      <w:r>
        <w:rPr>
          <w:spacing w:val="-3"/>
        </w:rPr>
        <w:t xml:space="preserve"> </w:t>
      </w:r>
      <w:r>
        <w:t>subgroup on the board to dominate decision-making despite the application of commonly accepted rules of corporate governance regarding board composition and board processes.</w:t>
      </w:r>
      <w:r>
        <w:rPr>
          <w:spacing w:val="35"/>
        </w:rPr>
        <w:t xml:space="preserve"> </w:t>
      </w:r>
      <w:r>
        <w:t xml:space="preserve">The </w:t>
      </w:r>
      <w:r w:rsidR="00AE27B5">
        <w:t xml:space="preserve">assumptions of the </w:t>
      </w:r>
      <w:r>
        <w:t xml:space="preserve">agent-based model </w:t>
      </w:r>
      <w:r w:rsidR="00AE27B5">
        <w:t xml:space="preserve">are </w:t>
      </w:r>
      <w:r w:rsidR="009B1F01">
        <w:t xml:space="preserve">based on </w:t>
      </w:r>
      <w:r w:rsidR="00734A2B">
        <w:t>evidence from an international regulatory board.</w:t>
      </w:r>
      <w:r w:rsidR="009B1F01">
        <w:t xml:space="preserve"> </w:t>
      </w:r>
      <w:r>
        <w:t>The findings contribute to a recent stream of literature</w:t>
      </w:r>
      <w:r w:rsidR="00EE3AE9">
        <w:t xml:space="preserve"> on</w:t>
      </w:r>
      <w:r>
        <w:t xml:space="preserve"> </w:t>
      </w:r>
      <w:r w:rsidR="006258F1">
        <w:t xml:space="preserve">the negative consequences </w:t>
      </w:r>
      <w:r w:rsidR="002D2DC0">
        <w:t xml:space="preserve">board subgroups may </w:t>
      </w:r>
      <w:r w:rsidR="005039B1">
        <w:t>generate</w:t>
      </w:r>
      <w:r w:rsidR="002D2DC0">
        <w:t xml:space="preserve"> </w:t>
      </w:r>
      <w:r w:rsidR="00EE3AE9">
        <w:t xml:space="preserve">for board effectiveness </w:t>
      </w:r>
      <w:r>
        <w:t>(Adair</w:t>
      </w:r>
      <w:r>
        <w:rPr>
          <w:spacing w:val="-5"/>
        </w:rPr>
        <w:t xml:space="preserve"> </w:t>
      </w:r>
      <w:r>
        <w:t>et</w:t>
      </w:r>
      <w:r>
        <w:rPr>
          <w:spacing w:val="-5"/>
        </w:rPr>
        <w:t xml:space="preserve"> </w:t>
      </w:r>
      <w:r>
        <w:t>al.,</w:t>
      </w:r>
      <w:r>
        <w:rPr>
          <w:spacing w:val="-6"/>
        </w:rPr>
        <w:t xml:space="preserve"> </w:t>
      </w:r>
      <w:r>
        <w:t>2017;</w:t>
      </w:r>
      <w:r>
        <w:rPr>
          <w:spacing w:val="-5"/>
        </w:rPr>
        <w:t xml:space="preserve"> </w:t>
      </w:r>
      <w:proofErr w:type="spellStart"/>
      <w:r>
        <w:t>Bezrukova</w:t>
      </w:r>
      <w:proofErr w:type="spellEnd"/>
      <w:r>
        <w:rPr>
          <w:spacing w:val="-5"/>
        </w:rPr>
        <w:t xml:space="preserve"> </w:t>
      </w:r>
      <w:r>
        <w:t>et</w:t>
      </w:r>
      <w:r>
        <w:rPr>
          <w:spacing w:val="-5"/>
        </w:rPr>
        <w:t xml:space="preserve"> </w:t>
      </w:r>
      <w:r>
        <w:t>al.,</w:t>
      </w:r>
      <w:r>
        <w:rPr>
          <w:spacing w:val="-5"/>
        </w:rPr>
        <w:t xml:space="preserve"> </w:t>
      </w:r>
      <w:r>
        <w:t>2009,</w:t>
      </w:r>
      <w:r>
        <w:rPr>
          <w:spacing w:val="-5"/>
        </w:rPr>
        <w:t xml:space="preserve"> </w:t>
      </w:r>
      <w:r>
        <w:t>2016;</w:t>
      </w:r>
      <w:r>
        <w:rPr>
          <w:spacing w:val="-5"/>
        </w:rPr>
        <w:t xml:space="preserve"> </w:t>
      </w:r>
      <w:proofErr w:type="spellStart"/>
      <w:r>
        <w:t>Crucke</w:t>
      </w:r>
      <w:proofErr w:type="spellEnd"/>
      <w:r>
        <w:rPr>
          <w:spacing w:val="-5"/>
        </w:rPr>
        <w:t xml:space="preserve"> </w:t>
      </w:r>
      <w:r>
        <w:t>and</w:t>
      </w:r>
      <w:r>
        <w:rPr>
          <w:spacing w:val="-5"/>
        </w:rPr>
        <w:t xml:space="preserve"> </w:t>
      </w:r>
      <w:proofErr w:type="spellStart"/>
      <w:r>
        <w:t>Knockaert</w:t>
      </w:r>
      <w:proofErr w:type="spellEnd"/>
      <w:r>
        <w:t>,</w:t>
      </w:r>
      <w:r>
        <w:rPr>
          <w:spacing w:val="-6"/>
        </w:rPr>
        <w:t xml:space="preserve"> </w:t>
      </w:r>
      <w:r>
        <w:t>2016;</w:t>
      </w:r>
      <w:r>
        <w:rPr>
          <w:spacing w:val="-5"/>
        </w:rPr>
        <w:t xml:space="preserve"> </w:t>
      </w:r>
      <w:r>
        <w:t>Van</w:t>
      </w:r>
      <w:r>
        <w:rPr>
          <w:spacing w:val="-5"/>
        </w:rPr>
        <w:t xml:space="preserve"> </w:t>
      </w:r>
      <w:proofErr w:type="spellStart"/>
      <w:r>
        <w:t>Peteghem</w:t>
      </w:r>
      <w:proofErr w:type="spellEnd"/>
      <w:r>
        <w:t xml:space="preserve"> et al., 2018)</w:t>
      </w:r>
      <w:r w:rsidR="000355BF">
        <w:t>. More generally</w:t>
      </w:r>
      <w:r w:rsidR="005039B1">
        <w:t>,</w:t>
      </w:r>
      <w:r w:rsidR="000355BF">
        <w:t xml:space="preserve"> </w:t>
      </w:r>
      <w:r w:rsidR="004F678D">
        <w:t>they</w:t>
      </w:r>
      <w:r w:rsidR="000355BF">
        <w:t xml:space="preserve"> add to </w:t>
      </w:r>
      <w:r w:rsidR="004F678D">
        <w:t xml:space="preserve">the </w:t>
      </w:r>
      <w:r w:rsidR="000355BF">
        <w:t xml:space="preserve">management literature addressing the </w:t>
      </w:r>
      <w:r w:rsidR="005039B1">
        <w:t>implications for board effectiveness</w:t>
      </w:r>
      <w:r w:rsidR="000355BF">
        <w:t xml:space="preserve"> of </w:t>
      </w:r>
      <w:r w:rsidR="00EE3AE9">
        <w:t>board ties (Westphal, 1999; Westphal and Zhu, 2019</w:t>
      </w:r>
      <w:r w:rsidR="002731EF">
        <w:t xml:space="preserve">), </w:t>
      </w:r>
      <w:r w:rsidR="004F678D">
        <w:t xml:space="preserve">board </w:t>
      </w:r>
      <w:r w:rsidR="002731EF">
        <w:t>norms (</w:t>
      </w:r>
      <w:proofErr w:type="spellStart"/>
      <w:r w:rsidR="002731EF">
        <w:t>Minichilli</w:t>
      </w:r>
      <w:proofErr w:type="spellEnd"/>
      <w:r w:rsidR="002731EF">
        <w:t xml:space="preserve"> et al, 201</w:t>
      </w:r>
      <w:r w:rsidR="00720E36">
        <w:t>2</w:t>
      </w:r>
      <w:r w:rsidR="002731EF">
        <w:t>, Nielson et al., 2020)</w:t>
      </w:r>
      <w:r w:rsidR="00101835">
        <w:t>, board identity (Golden-Biddle and Rao, 1997),</w:t>
      </w:r>
      <w:r w:rsidR="002731EF">
        <w:t xml:space="preserve"> and variations in director characteristics (</w:t>
      </w:r>
      <w:proofErr w:type="spellStart"/>
      <w:r w:rsidR="002731EF">
        <w:t>Rigolini</w:t>
      </w:r>
      <w:proofErr w:type="spellEnd"/>
      <w:r w:rsidR="002731EF">
        <w:t xml:space="preserve"> and </w:t>
      </w:r>
      <w:proofErr w:type="spellStart"/>
      <w:r w:rsidR="002731EF">
        <w:t>Huse</w:t>
      </w:r>
      <w:proofErr w:type="spellEnd"/>
      <w:r w:rsidR="002731EF">
        <w:t>, 2021).</w:t>
      </w:r>
    </w:p>
    <w:p w14:paraId="6B09CD72" w14:textId="446FB1C1" w:rsidR="00D66AD3" w:rsidRDefault="00B04FC3" w:rsidP="001E2149">
      <w:pPr>
        <w:spacing w:line="252" w:lineRule="auto"/>
        <w:ind w:firstLine="720"/>
        <w:rPr>
          <w:sz w:val="24"/>
        </w:rPr>
      </w:pPr>
      <w:r>
        <w:rPr>
          <w:sz w:val="24"/>
        </w:rPr>
        <w:t>It is not surprising that board dynamics may be driven by powerful subgroups, as many who have participated in group decision-making can attest.</w:t>
      </w:r>
      <w:r>
        <w:rPr>
          <w:spacing w:val="40"/>
          <w:sz w:val="24"/>
        </w:rPr>
        <w:t xml:space="preserve"> </w:t>
      </w:r>
      <w:r>
        <w:rPr>
          <w:sz w:val="24"/>
        </w:rPr>
        <w:t>However, the specific mechanisms which enable</w:t>
      </w:r>
      <w:r>
        <w:rPr>
          <w:spacing w:val="-11"/>
          <w:sz w:val="24"/>
        </w:rPr>
        <w:t xml:space="preserve"> </w:t>
      </w:r>
      <w:r>
        <w:rPr>
          <w:sz w:val="24"/>
        </w:rPr>
        <w:t>subgroups</w:t>
      </w:r>
      <w:r>
        <w:rPr>
          <w:spacing w:val="-11"/>
          <w:sz w:val="24"/>
        </w:rPr>
        <w:t xml:space="preserve"> </w:t>
      </w:r>
      <w:r>
        <w:rPr>
          <w:sz w:val="24"/>
        </w:rPr>
        <w:t>to</w:t>
      </w:r>
      <w:r>
        <w:rPr>
          <w:spacing w:val="-11"/>
          <w:sz w:val="24"/>
        </w:rPr>
        <w:t xml:space="preserve"> </w:t>
      </w:r>
      <w:r>
        <w:rPr>
          <w:sz w:val="24"/>
        </w:rPr>
        <w:t>dominate</w:t>
      </w:r>
      <w:r>
        <w:rPr>
          <w:spacing w:val="-11"/>
          <w:sz w:val="24"/>
        </w:rPr>
        <w:t xml:space="preserve"> </w:t>
      </w:r>
      <w:r>
        <w:rPr>
          <w:sz w:val="24"/>
        </w:rPr>
        <w:t>board</w:t>
      </w:r>
      <w:r>
        <w:rPr>
          <w:spacing w:val="-11"/>
          <w:sz w:val="24"/>
        </w:rPr>
        <w:t xml:space="preserve"> </w:t>
      </w:r>
      <w:r>
        <w:rPr>
          <w:sz w:val="24"/>
        </w:rPr>
        <w:t>deliberation</w:t>
      </w:r>
      <w:r>
        <w:rPr>
          <w:spacing w:val="-11"/>
          <w:sz w:val="24"/>
        </w:rPr>
        <w:t xml:space="preserve"> </w:t>
      </w:r>
      <w:r>
        <w:rPr>
          <w:sz w:val="24"/>
        </w:rPr>
        <w:t>have</w:t>
      </w:r>
      <w:r>
        <w:rPr>
          <w:spacing w:val="-11"/>
          <w:sz w:val="24"/>
        </w:rPr>
        <w:t xml:space="preserve"> </w:t>
      </w:r>
      <w:r>
        <w:rPr>
          <w:sz w:val="24"/>
        </w:rPr>
        <w:t>not</w:t>
      </w:r>
      <w:r>
        <w:rPr>
          <w:spacing w:val="-11"/>
          <w:sz w:val="24"/>
        </w:rPr>
        <w:t xml:space="preserve"> </w:t>
      </w:r>
      <w:r>
        <w:rPr>
          <w:sz w:val="24"/>
        </w:rPr>
        <w:t>been</w:t>
      </w:r>
      <w:r>
        <w:rPr>
          <w:spacing w:val="-11"/>
          <w:sz w:val="24"/>
        </w:rPr>
        <w:t xml:space="preserve"> </w:t>
      </w:r>
      <w:r>
        <w:rPr>
          <w:sz w:val="24"/>
        </w:rPr>
        <w:t>a</w:t>
      </w:r>
      <w:r>
        <w:rPr>
          <w:spacing w:val="-11"/>
          <w:sz w:val="24"/>
        </w:rPr>
        <w:t xml:space="preserve"> </w:t>
      </w:r>
      <w:r>
        <w:rPr>
          <w:sz w:val="24"/>
        </w:rPr>
        <w:t>significant</w:t>
      </w:r>
      <w:r>
        <w:rPr>
          <w:spacing w:val="-11"/>
          <w:sz w:val="24"/>
        </w:rPr>
        <w:t xml:space="preserve"> </w:t>
      </w:r>
      <w:r>
        <w:rPr>
          <w:sz w:val="24"/>
        </w:rPr>
        <w:t>focus</w:t>
      </w:r>
      <w:r>
        <w:rPr>
          <w:spacing w:val="-11"/>
          <w:sz w:val="24"/>
        </w:rPr>
        <w:t xml:space="preserve"> </w:t>
      </w:r>
      <w:r>
        <w:rPr>
          <w:sz w:val="24"/>
        </w:rPr>
        <w:t>of</w:t>
      </w:r>
      <w:r>
        <w:rPr>
          <w:spacing w:val="-11"/>
          <w:sz w:val="24"/>
        </w:rPr>
        <w:t xml:space="preserve"> </w:t>
      </w:r>
      <w:r>
        <w:rPr>
          <w:sz w:val="24"/>
        </w:rPr>
        <w:t>current</w:t>
      </w:r>
      <w:r>
        <w:rPr>
          <w:spacing w:val="-11"/>
          <w:sz w:val="24"/>
        </w:rPr>
        <w:t xml:space="preserve"> </w:t>
      </w:r>
      <w:r>
        <w:rPr>
          <w:sz w:val="24"/>
        </w:rPr>
        <w:t>regulation</w:t>
      </w:r>
      <w:r>
        <w:rPr>
          <w:spacing w:val="-9"/>
          <w:sz w:val="24"/>
        </w:rPr>
        <w:t xml:space="preserve"> </w:t>
      </w:r>
      <w:r>
        <w:rPr>
          <w:sz w:val="24"/>
        </w:rPr>
        <w:t>regarding</w:t>
      </w:r>
      <w:r>
        <w:rPr>
          <w:spacing w:val="-9"/>
          <w:sz w:val="24"/>
        </w:rPr>
        <w:t xml:space="preserve"> </w:t>
      </w:r>
      <w:r>
        <w:rPr>
          <w:sz w:val="24"/>
        </w:rPr>
        <w:t>board</w:t>
      </w:r>
      <w:r>
        <w:rPr>
          <w:spacing w:val="-9"/>
          <w:sz w:val="24"/>
        </w:rPr>
        <w:t xml:space="preserve"> </w:t>
      </w:r>
      <w:r>
        <w:rPr>
          <w:sz w:val="24"/>
        </w:rPr>
        <w:t>effectiveness.</w:t>
      </w:r>
      <w:r w:rsidR="0084143E">
        <w:rPr>
          <w:sz w:val="24"/>
        </w:rPr>
        <w:t xml:space="preserve"> </w:t>
      </w:r>
      <w:r w:rsidR="00AE27B5">
        <w:rPr>
          <w:sz w:val="24"/>
        </w:rPr>
        <w:t xml:space="preserve">Our agent-based model shows that this </w:t>
      </w:r>
      <w:r w:rsidR="0084143E">
        <w:rPr>
          <w:sz w:val="24"/>
        </w:rPr>
        <w:t>emphasis on composition</w:t>
      </w:r>
      <w:r w:rsidR="005064B5">
        <w:rPr>
          <w:sz w:val="24"/>
        </w:rPr>
        <w:t>,</w:t>
      </w:r>
      <w:r w:rsidR="0084143E">
        <w:rPr>
          <w:sz w:val="24"/>
        </w:rPr>
        <w:t xml:space="preserve"> rather than dynamics</w:t>
      </w:r>
      <w:r w:rsidR="00B21595">
        <w:rPr>
          <w:sz w:val="24"/>
        </w:rPr>
        <w:t>,</w:t>
      </w:r>
      <w:r w:rsidR="004443CF">
        <w:rPr>
          <w:sz w:val="24"/>
        </w:rPr>
        <w:t xml:space="preserve"> </w:t>
      </w:r>
      <w:r w:rsidR="0084143E">
        <w:rPr>
          <w:sz w:val="24"/>
        </w:rPr>
        <w:t xml:space="preserve">risks undermining efforts to achieve board effectiveness </w:t>
      </w:r>
      <w:r w:rsidR="00AE27B5">
        <w:rPr>
          <w:sz w:val="24"/>
        </w:rPr>
        <w:t xml:space="preserve">by identifying specific </w:t>
      </w:r>
      <w:r w:rsidRPr="0084143E">
        <w:rPr>
          <w:bCs/>
          <w:sz w:val="24"/>
        </w:rPr>
        <w:t xml:space="preserve">mechanisms through which </w:t>
      </w:r>
      <w:r w:rsidR="002C4993">
        <w:rPr>
          <w:bCs/>
          <w:sz w:val="24"/>
        </w:rPr>
        <w:t xml:space="preserve">small </w:t>
      </w:r>
      <w:r w:rsidRPr="0084143E">
        <w:rPr>
          <w:bCs/>
          <w:sz w:val="24"/>
        </w:rPr>
        <w:t xml:space="preserve">subgroups can influence board deliberation to a </w:t>
      </w:r>
      <w:r w:rsidR="002C4993">
        <w:rPr>
          <w:bCs/>
          <w:sz w:val="24"/>
        </w:rPr>
        <w:t xml:space="preserve">disproportionate </w:t>
      </w:r>
      <w:r w:rsidRPr="0084143E">
        <w:rPr>
          <w:bCs/>
          <w:sz w:val="24"/>
        </w:rPr>
        <w:t>degree.</w:t>
      </w:r>
      <w:r w:rsidRPr="0084143E">
        <w:rPr>
          <w:bCs/>
          <w:spacing w:val="40"/>
          <w:sz w:val="24"/>
        </w:rPr>
        <w:t xml:space="preserve"> </w:t>
      </w:r>
    </w:p>
    <w:p w14:paraId="721B72D1" w14:textId="689EECCB" w:rsidR="00D66AD3" w:rsidRDefault="00B04FC3" w:rsidP="00AA0EC5">
      <w:pPr>
        <w:pStyle w:val="BodyText"/>
      </w:pPr>
      <w:r>
        <w:t>Corporate</w:t>
      </w:r>
      <w:r>
        <w:rPr>
          <w:spacing w:val="-8"/>
        </w:rPr>
        <w:t xml:space="preserve"> </w:t>
      </w:r>
      <w:r>
        <w:t>governance</w:t>
      </w:r>
      <w:r>
        <w:rPr>
          <w:spacing w:val="-8"/>
        </w:rPr>
        <w:t xml:space="preserve"> </w:t>
      </w:r>
      <w:r>
        <w:t>regulation</w:t>
      </w:r>
      <w:r>
        <w:rPr>
          <w:spacing w:val="-8"/>
        </w:rPr>
        <w:t xml:space="preserve"> </w:t>
      </w:r>
      <w:r>
        <w:t>identifies</w:t>
      </w:r>
      <w:r>
        <w:rPr>
          <w:spacing w:val="-8"/>
        </w:rPr>
        <w:t xml:space="preserve"> </w:t>
      </w:r>
      <w:r>
        <w:rPr>
          <w:i/>
        </w:rPr>
        <w:t>board</w:t>
      </w:r>
      <w:r>
        <w:rPr>
          <w:i/>
          <w:spacing w:val="-8"/>
        </w:rPr>
        <w:t xml:space="preserve"> </w:t>
      </w:r>
      <w:r>
        <w:rPr>
          <w:i/>
        </w:rPr>
        <w:t>effectiveness</w:t>
      </w:r>
      <w:r>
        <w:rPr>
          <w:i/>
          <w:spacing w:val="-8"/>
        </w:rPr>
        <w:t xml:space="preserve"> </w:t>
      </w:r>
      <w:r>
        <w:t>as</w:t>
      </w:r>
      <w:r>
        <w:rPr>
          <w:spacing w:val="-8"/>
        </w:rPr>
        <w:t xml:space="preserve"> </w:t>
      </w:r>
      <w:r>
        <w:t>the</w:t>
      </w:r>
      <w:r>
        <w:rPr>
          <w:spacing w:val="-8"/>
        </w:rPr>
        <w:t xml:space="preserve"> </w:t>
      </w:r>
      <w:r>
        <w:t>ability</w:t>
      </w:r>
      <w:r>
        <w:rPr>
          <w:spacing w:val="-8"/>
        </w:rPr>
        <w:t xml:space="preserve"> </w:t>
      </w:r>
      <w:r>
        <w:t>of</w:t>
      </w:r>
      <w:r>
        <w:rPr>
          <w:spacing w:val="-8"/>
        </w:rPr>
        <w:t xml:space="preserve"> </w:t>
      </w:r>
      <w:r>
        <w:t>boards</w:t>
      </w:r>
      <w:r>
        <w:rPr>
          <w:spacing w:val="-8"/>
        </w:rPr>
        <w:t xml:space="preserve"> </w:t>
      </w:r>
      <w:r>
        <w:t>to</w:t>
      </w:r>
      <w:r>
        <w:rPr>
          <w:spacing w:val="-8"/>
        </w:rPr>
        <w:t xml:space="preserve"> </w:t>
      </w:r>
      <w:r>
        <w:t>work together</w:t>
      </w:r>
      <w:r>
        <w:rPr>
          <w:spacing w:val="9"/>
        </w:rPr>
        <w:t xml:space="preserve"> </w:t>
      </w:r>
      <w:r>
        <w:t>to</w:t>
      </w:r>
      <w:r>
        <w:rPr>
          <w:spacing w:val="11"/>
        </w:rPr>
        <w:t xml:space="preserve"> </w:t>
      </w:r>
      <w:r>
        <w:t>achieve</w:t>
      </w:r>
      <w:r>
        <w:rPr>
          <w:spacing w:val="10"/>
        </w:rPr>
        <w:t xml:space="preserve"> </w:t>
      </w:r>
      <w:r>
        <w:t>corporate</w:t>
      </w:r>
      <w:r>
        <w:rPr>
          <w:spacing w:val="10"/>
        </w:rPr>
        <w:t xml:space="preserve"> </w:t>
      </w:r>
      <w:r>
        <w:t>objectives</w:t>
      </w:r>
      <w:r>
        <w:rPr>
          <w:spacing w:val="10"/>
        </w:rPr>
        <w:t xml:space="preserve"> </w:t>
      </w:r>
      <w:r>
        <w:t>(see,</w:t>
      </w:r>
      <w:r>
        <w:rPr>
          <w:spacing w:val="15"/>
        </w:rPr>
        <w:t xml:space="preserve"> </w:t>
      </w:r>
      <w:r>
        <w:t>for</w:t>
      </w:r>
      <w:r>
        <w:rPr>
          <w:spacing w:val="10"/>
        </w:rPr>
        <w:t xml:space="preserve"> </w:t>
      </w:r>
      <w:r>
        <w:t>example,</w:t>
      </w:r>
      <w:r>
        <w:rPr>
          <w:spacing w:val="15"/>
        </w:rPr>
        <w:t xml:space="preserve"> </w:t>
      </w:r>
      <w:r>
        <w:t>Financial</w:t>
      </w:r>
      <w:r>
        <w:rPr>
          <w:spacing w:val="9"/>
        </w:rPr>
        <w:t xml:space="preserve"> </w:t>
      </w:r>
      <w:r>
        <w:t>Reporting</w:t>
      </w:r>
      <w:r>
        <w:rPr>
          <w:spacing w:val="11"/>
        </w:rPr>
        <w:t xml:space="preserve"> </w:t>
      </w:r>
      <w:r>
        <w:t>Council,</w:t>
      </w:r>
      <w:r>
        <w:rPr>
          <w:spacing w:val="10"/>
        </w:rPr>
        <w:t xml:space="preserve"> </w:t>
      </w:r>
      <w:r>
        <w:rPr>
          <w:spacing w:val="-2"/>
        </w:rPr>
        <w:t>2018b;</w:t>
      </w:r>
      <w:r w:rsidR="001E2149">
        <w:rPr>
          <w:spacing w:val="-2"/>
        </w:rPr>
        <w:t xml:space="preserve"> </w:t>
      </w:r>
      <w:r>
        <w:t>New</w:t>
      </w:r>
      <w:r>
        <w:rPr>
          <w:spacing w:val="-4"/>
        </w:rPr>
        <w:t xml:space="preserve"> </w:t>
      </w:r>
      <w:r>
        <w:t>York</w:t>
      </w:r>
      <w:r>
        <w:rPr>
          <w:spacing w:val="-4"/>
        </w:rPr>
        <w:t xml:space="preserve"> </w:t>
      </w:r>
      <w:r>
        <w:t>Stock</w:t>
      </w:r>
      <w:r>
        <w:rPr>
          <w:spacing w:val="-4"/>
        </w:rPr>
        <w:t xml:space="preserve"> </w:t>
      </w:r>
      <w:r>
        <w:t>Exchange,</w:t>
      </w:r>
      <w:r>
        <w:rPr>
          <w:spacing w:val="-4"/>
        </w:rPr>
        <w:t xml:space="preserve"> </w:t>
      </w:r>
      <w:r>
        <w:t>2014),</w:t>
      </w:r>
      <w:r>
        <w:rPr>
          <w:spacing w:val="-3"/>
        </w:rPr>
        <w:t xml:space="preserve"> </w:t>
      </w:r>
      <w:r>
        <w:t>focusing</w:t>
      </w:r>
      <w:r>
        <w:rPr>
          <w:spacing w:val="-4"/>
        </w:rPr>
        <w:t xml:space="preserve"> </w:t>
      </w:r>
      <w:r>
        <w:t>on</w:t>
      </w:r>
      <w:r>
        <w:rPr>
          <w:spacing w:val="-4"/>
        </w:rPr>
        <w:t xml:space="preserve"> </w:t>
      </w:r>
      <w:r>
        <w:t>two</w:t>
      </w:r>
      <w:r>
        <w:rPr>
          <w:spacing w:val="-4"/>
        </w:rPr>
        <w:t xml:space="preserve"> </w:t>
      </w:r>
      <w:r>
        <w:t>elements: composition</w:t>
      </w:r>
      <w:r>
        <w:rPr>
          <w:spacing w:val="-4"/>
        </w:rPr>
        <w:t xml:space="preserve"> </w:t>
      </w:r>
      <w:r>
        <w:t>and</w:t>
      </w:r>
      <w:r>
        <w:rPr>
          <w:spacing w:val="-4"/>
        </w:rPr>
        <w:t xml:space="preserve"> </w:t>
      </w:r>
      <w:r>
        <w:t>process. First,</w:t>
      </w:r>
      <w:r>
        <w:rPr>
          <w:spacing w:val="-3"/>
        </w:rPr>
        <w:t xml:space="preserve"> </w:t>
      </w:r>
      <w:r>
        <w:t>regarding</w:t>
      </w:r>
      <w:r>
        <w:rPr>
          <w:spacing w:val="-13"/>
        </w:rPr>
        <w:t xml:space="preserve"> </w:t>
      </w:r>
      <w:r>
        <w:t>board</w:t>
      </w:r>
      <w:r>
        <w:rPr>
          <w:spacing w:val="-13"/>
        </w:rPr>
        <w:t xml:space="preserve"> </w:t>
      </w:r>
      <w:r>
        <w:rPr>
          <w:i/>
        </w:rPr>
        <w:t>composition</w:t>
      </w:r>
      <w:r>
        <w:t>,</w:t>
      </w:r>
      <w:r>
        <w:rPr>
          <w:spacing w:val="-11"/>
        </w:rPr>
        <w:t xml:space="preserve"> </w:t>
      </w:r>
      <w:r>
        <w:t>it</w:t>
      </w:r>
      <w:r>
        <w:rPr>
          <w:spacing w:val="-13"/>
        </w:rPr>
        <w:t xml:space="preserve"> </w:t>
      </w:r>
      <w:r>
        <w:t>is</w:t>
      </w:r>
      <w:r>
        <w:rPr>
          <w:spacing w:val="-13"/>
        </w:rPr>
        <w:t xml:space="preserve"> </w:t>
      </w:r>
      <w:r>
        <w:t>noted</w:t>
      </w:r>
      <w:r>
        <w:rPr>
          <w:spacing w:val="-13"/>
        </w:rPr>
        <w:t xml:space="preserve"> </w:t>
      </w:r>
      <w:r>
        <w:t>that</w:t>
      </w:r>
      <w:r>
        <w:rPr>
          <w:spacing w:val="-13"/>
        </w:rPr>
        <w:t xml:space="preserve"> </w:t>
      </w:r>
      <w:r>
        <w:t>directors</w:t>
      </w:r>
      <w:r>
        <w:rPr>
          <w:spacing w:val="-13"/>
        </w:rPr>
        <w:t xml:space="preserve"> </w:t>
      </w:r>
      <w:r>
        <w:t>should</w:t>
      </w:r>
      <w:r>
        <w:rPr>
          <w:spacing w:val="-13"/>
        </w:rPr>
        <w:t xml:space="preserve"> </w:t>
      </w:r>
      <w:r>
        <w:t>be</w:t>
      </w:r>
      <w:r>
        <w:rPr>
          <w:spacing w:val="-13"/>
        </w:rPr>
        <w:t xml:space="preserve"> </w:t>
      </w:r>
      <w:r>
        <w:t>competent,</w:t>
      </w:r>
      <w:r>
        <w:rPr>
          <w:spacing w:val="-11"/>
        </w:rPr>
        <w:t xml:space="preserve"> </w:t>
      </w:r>
      <w:r>
        <w:t>independent</w:t>
      </w:r>
      <w:r>
        <w:rPr>
          <w:spacing w:val="-13"/>
        </w:rPr>
        <w:t xml:space="preserve"> </w:t>
      </w:r>
      <w:r>
        <w:t>and</w:t>
      </w:r>
      <w:r>
        <w:rPr>
          <w:spacing w:val="-13"/>
        </w:rPr>
        <w:t xml:space="preserve"> </w:t>
      </w:r>
      <w:r>
        <w:t>possess personal attributes such as “tact” and the “ability to listen” (Financial Reporting Council, 2018a, figure</w:t>
      </w:r>
      <w:r>
        <w:rPr>
          <w:spacing w:val="-11"/>
        </w:rPr>
        <w:t xml:space="preserve"> </w:t>
      </w:r>
      <w:r>
        <w:t>7,</w:t>
      </w:r>
      <w:r>
        <w:rPr>
          <w:spacing w:val="-10"/>
        </w:rPr>
        <w:t xml:space="preserve"> </w:t>
      </w:r>
      <w:r>
        <w:t>page</w:t>
      </w:r>
      <w:r>
        <w:rPr>
          <w:spacing w:val="-11"/>
        </w:rPr>
        <w:t xml:space="preserve"> </w:t>
      </w:r>
      <w:r>
        <w:t>24). They</w:t>
      </w:r>
      <w:r>
        <w:rPr>
          <w:spacing w:val="-11"/>
        </w:rPr>
        <w:t xml:space="preserve"> </w:t>
      </w:r>
      <w:r>
        <w:t>should</w:t>
      </w:r>
      <w:r>
        <w:rPr>
          <w:spacing w:val="-11"/>
        </w:rPr>
        <w:t xml:space="preserve"> </w:t>
      </w:r>
      <w:r>
        <w:t>be</w:t>
      </w:r>
      <w:r>
        <w:rPr>
          <w:spacing w:val="-11"/>
        </w:rPr>
        <w:t xml:space="preserve"> </w:t>
      </w:r>
      <w:r>
        <w:t>selected</w:t>
      </w:r>
      <w:r>
        <w:rPr>
          <w:spacing w:val="-11"/>
        </w:rPr>
        <w:t xml:space="preserve"> </w:t>
      </w:r>
      <w:r>
        <w:t>based</w:t>
      </w:r>
      <w:r>
        <w:rPr>
          <w:spacing w:val="-11"/>
        </w:rPr>
        <w:t xml:space="preserve"> </w:t>
      </w:r>
      <w:r>
        <w:t>on</w:t>
      </w:r>
      <w:r>
        <w:rPr>
          <w:spacing w:val="-11"/>
        </w:rPr>
        <w:t xml:space="preserve"> </w:t>
      </w:r>
      <w:r>
        <w:t>their</w:t>
      </w:r>
      <w:r>
        <w:rPr>
          <w:spacing w:val="-11"/>
        </w:rPr>
        <w:t xml:space="preserve"> </w:t>
      </w:r>
      <w:r>
        <w:t>ability</w:t>
      </w:r>
      <w:r>
        <w:rPr>
          <w:spacing w:val="-11"/>
        </w:rPr>
        <w:t xml:space="preserve"> </w:t>
      </w:r>
      <w:r>
        <w:t>“to</w:t>
      </w:r>
      <w:r>
        <w:rPr>
          <w:spacing w:val="-11"/>
        </w:rPr>
        <w:t xml:space="preserve"> </w:t>
      </w:r>
      <w:r>
        <w:t>make</w:t>
      </w:r>
      <w:r>
        <w:rPr>
          <w:spacing w:val="-11"/>
        </w:rPr>
        <w:t xml:space="preserve"> </w:t>
      </w:r>
      <w:r>
        <w:t>a</w:t>
      </w:r>
      <w:r>
        <w:rPr>
          <w:spacing w:val="-11"/>
        </w:rPr>
        <w:t xml:space="preserve"> </w:t>
      </w:r>
      <w:r>
        <w:t>positive</w:t>
      </w:r>
      <w:r>
        <w:rPr>
          <w:spacing w:val="-11"/>
        </w:rPr>
        <w:t xml:space="preserve"> </w:t>
      </w:r>
      <w:r>
        <w:t xml:space="preserve">contribution” and should have “the right skillsets” to ensure that “a breadth of perspectives </w:t>
      </w:r>
      <w:proofErr w:type="gramStart"/>
      <w:r>
        <w:t>are</w:t>
      </w:r>
      <w:proofErr w:type="gramEnd"/>
      <w:r>
        <w:t xml:space="preserve"> present in the boardroom” (Financial Reporting Council, 2018a, paragraph 87).</w:t>
      </w:r>
      <w:r>
        <w:rPr>
          <w:spacing w:val="40"/>
        </w:rPr>
        <w:t xml:space="preserve"> </w:t>
      </w:r>
      <w:r>
        <w:t>Board composition should also reflect gender, cultural and ethnic diversity as this “can have a positive effect on the</w:t>
      </w:r>
      <w:r>
        <w:rPr>
          <w:spacing w:val="-5"/>
        </w:rPr>
        <w:t xml:space="preserve"> </w:t>
      </w:r>
      <w:r>
        <w:t>quality</w:t>
      </w:r>
      <w:r>
        <w:rPr>
          <w:spacing w:val="-5"/>
        </w:rPr>
        <w:t xml:space="preserve"> </w:t>
      </w:r>
      <w:r>
        <w:t>of</w:t>
      </w:r>
      <w:r>
        <w:rPr>
          <w:spacing w:val="-5"/>
        </w:rPr>
        <w:t xml:space="preserve"> </w:t>
      </w:r>
      <w:r>
        <w:t>decision-making</w:t>
      </w:r>
      <w:r>
        <w:rPr>
          <w:spacing w:val="-5"/>
        </w:rPr>
        <w:t xml:space="preserve"> </w:t>
      </w:r>
      <w:r>
        <w:t>by</w:t>
      </w:r>
      <w:r>
        <w:rPr>
          <w:spacing w:val="-5"/>
        </w:rPr>
        <w:t xml:space="preserve"> </w:t>
      </w:r>
      <w:r>
        <w:t>reducing</w:t>
      </w:r>
      <w:r>
        <w:rPr>
          <w:spacing w:val="-5"/>
        </w:rPr>
        <w:t xml:space="preserve"> </w:t>
      </w:r>
      <w:r>
        <w:t>the</w:t>
      </w:r>
      <w:r>
        <w:rPr>
          <w:spacing w:val="-5"/>
        </w:rPr>
        <w:t xml:space="preserve"> </w:t>
      </w:r>
      <w:r>
        <w:t>risk</w:t>
      </w:r>
      <w:r>
        <w:rPr>
          <w:spacing w:val="-5"/>
        </w:rPr>
        <w:t xml:space="preserve"> </w:t>
      </w:r>
      <w:r>
        <w:t>of</w:t>
      </w:r>
      <w:r>
        <w:rPr>
          <w:spacing w:val="-5"/>
        </w:rPr>
        <w:t xml:space="preserve"> </w:t>
      </w:r>
      <w:r>
        <w:t>group</w:t>
      </w:r>
      <w:r>
        <w:rPr>
          <w:spacing w:val="-5"/>
        </w:rPr>
        <w:t xml:space="preserve"> </w:t>
      </w:r>
      <w:r>
        <w:t>think”</w:t>
      </w:r>
      <w:r>
        <w:rPr>
          <w:spacing w:val="-5"/>
        </w:rPr>
        <w:t xml:space="preserve"> </w:t>
      </w:r>
      <w:r>
        <w:t>(Financial</w:t>
      </w:r>
      <w:r>
        <w:rPr>
          <w:spacing w:val="-5"/>
        </w:rPr>
        <w:t xml:space="preserve"> </w:t>
      </w:r>
      <w:r>
        <w:t>Reporting</w:t>
      </w:r>
      <w:r>
        <w:rPr>
          <w:spacing w:val="-5"/>
        </w:rPr>
        <w:t xml:space="preserve"> </w:t>
      </w:r>
      <w:r>
        <w:t>Council, 2018a, paragraph 88).</w:t>
      </w:r>
      <w:r w:rsidR="00A1412E">
        <w:rPr>
          <w:rStyle w:val="EndnoteReference"/>
        </w:rPr>
        <w:endnoteReference w:id="1"/>
      </w:r>
      <w:r w:rsidR="00A1412E">
        <w:t xml:space="preserve"> </w:t>
      </w:r>
      <w:r>
        <w:t xml:space="preserve">Second, regarding board </w:t>
      </w:r>
      <w:r>
        <w:rPr>
          <w:i/>
        </w:rPr>
        <w:t>processes</w:t>
      </w:r>
      <w:r>
        <w:t xml:space="preserve">, it is generally accepted that boards should meet regularly, ensure the quality and timeliness of board papers and allow adequate time </w:t>
      </w:r>
      <w:r>
        <w:lastRenderedPageBreak/>
        <w:t>for deliberation of all issues (Financial Reporting Council, 2018a, Paragraph 28).</w:t>
      </w:r>
    </w:p>
    <w:p w14:paraId="2210A50D" w14:textId="028CE278" w:rsidR="00D66AD3" w:rsidRPr="00AA0EC5" w:rsidRDefault="00B04FC3" w:rsidP="00AA0EC5">
      <w:pPr>
        <w:pStyle w:val="BodyText"/>
      </w:pPr>
      <w:r>
        <w:t>Yet while the FRC notes that it is “crucial” that directors “use their skills, experience and knowledge</w:t>
      </w:r>
      <w:r>
        <w:rPr>
          <w:spacing w:val="-10"/>
        </w:rPr>
        <w:t xml:space="preserve"> </w:t>
      </w:r>
      <w:r>
        <w:t>to</w:t>
      </w:r>
      <w:r>
        <w:rPr>
          <w:spacing w:val="-11"/>
        </w:rPr>
        <w:t xml:space="preserve"> </w:t>
      </w:r>
      <w:r>
        <w:t>drive</w:t>
      </w:r>
      <w:r>
        <w:rPr>
          <w:spacing w:val="-10"/>
        </w:rPr>
        <w:t xml:space="preserve"> </w:t>
      </w:r>
      <w:r>
        <w:t>productive</w:t>
      </w:r>
      <w:r>
        <w:rPr>
          <w:spacing w:val="-11"/>
        </w:rPr>
        <w:t xml:space="preserve"> </w:t>
      </w:r>
      <w:r>
        <w:t>discussions”</w:t>
      </w:r>
      <w:r>
        <w:rPr>
          <w:spacing w:val="-10"/>
        </w:rPr>
        <w:t xml:space="preserve"> </w:t>
      </w:r>
      <w:r>
        <w:t>(Financial</w:t>
      </w:r>
      <w:r>
        <w:rPr>
          <w:spacing w:val="-10"/>
        </w:rPr>
        <w:t xml:space="preserve"> </w:t>
      </w:r>
      <w:r>
        <w:t>Reporting</w:t>
      </w:r>
      <w:r>
        <w:rPr>
          <w:spacing w:val="-11"/>
        </w:rPr>
        <w:t xml:space="preserve"> </w:t>
      </w:r>
      <w:r>
        <w:t>Council,</w:t>
      </w:r>
      <w:r>
        <w:rPr>
          <w:spacing w:val="-10"/>
        </w:rPr>
        <w:t xml:space="preserve"> </w:t>
      </w:r>
      <w:r>
        <w:t>2018a,</w:t>
      </w:r>
      <w:r>
        <w:rPr>
          <w:spacing w:val="-10"/>
        </w:rPr>
        <w:t xml:space="preserve"> </w:t>
      </w:r>
      <w:r>
        <w:t>paragraph</w:t>
      </w:r>
      <w:r>
        <w:rPr>
          <w:spacing w:val="-11"/>
        </w:rPr>
        <w:t xml:space="preserve"> </w:t>
      </w:r>
      <w:r>
        <w:t xml:space="preserve">103), </w:t>
      </w:r>
      <w:r w:rsidR="005830CC">
        <w:t xml:space="preserve">and that processes should be in place to ensure effective decision-making, </w:t>
      </w:r>
      <w:r>
        <w:t>no requirements are made regarding the deliberative dynamics of boards.</w:t>
      </w:r>
      <w:r>
        <w:rPr>
          <w:spacing w:val="40"/>
        </w:rPr>
        <w:t xml:space="preserve"> </w:t>
      </w:r>
      <w:r w:rsidRPr="00DC2E18">
        <w:rPr>
          <w:bCs/>
        </w:rPr>
        <w:t xml:space="preserve">This omission is </w:t>
      </w:r>
      <w:r w:rsidR="003644AF" w:rsidRPr="00DC2E18">
        <w:rPr>
          <w:bCs/>
        </w:rPr>
        <w:t>significant</w:t>
      </w:r>
      <w:r w:rsidRPr="00DC2E18">
        <w:rPr>
          <w:bCs/>
        </w:rPr>
        <w:t xml:space="preserve"> because it has been shown that the deliberative style of directo</w:t>
      </w:r>
      <w:r w:rsidRPr="00AA0EC5">
        <w:t xml:space="preserve">rs, including rhetorical characteristics such as the use of powerful speech and violations of turn-taking, can shape the quality of group deliberation (see Boden, 1983, 1994; </w:t>
      </w:r>
      <w:proofErr w:type="spellStart"/>
      <w:r w:rsidRPr="00AA0EC5">
        <w:t>Molotch</w:t>
      </w:r>
      <w:proofErr w:type="spellEnd"/>
      <w:r w:rsidRPr="00AA0EC5">
        <w:t xml:space="preserve"> and Boden, 1985). While some researchers note that more work should focus on “issues of group behavior and decision making” (see </w:t>
      </w:r>
      <w:proofErr w:type="spellStart"/>
      <w:r w:rsidRPr="00AA0EC5">
        <w:t>Carcello</w:t>
      </w:r>
      <w:proofErr w:type="spellEnd"/>
      <w:r w:rsidRPr="00AA0EC5">
        <w:t xml:space="preserve"> et al., 2011, pg. 19), the difficulty in accessing evidence to do so is readily acknowledged (Watson et al., 2020).</w:t>
      </w:r>
    </w:p>
    <w:p w14:paraId="7398B791" w14:textId="61988483" w:rsidR="00D66AD3" w:rsidRDefault="00B04FC3" w:rsidP="00AA0EC5">
      <w:pPr>
        <w:pStyle w:val="BodyText"/>
      </w:pPr>
      <w:r w:rsidRPr="00AA0EC5">
        <w:t xml:space="preserve">Using an agent-based model, we investigated the dynamics of board deliberation, showing how certain types of deliberative processes </w:t>
      </w:r>
      <w:r w:rsidR="005830CC">
        <w:t>can</w:t>
      </w:r>
      <w:r w:rsidR="005830CC" w:rsidRPr="00AA0EC5">
        <w:t xml:space="preserve"> </w:t>
      </w:r>
      <w:r w:rsidRPr="00AA0EC5">
        <w:t>influence, and potentially undermine,</w:t>
      </w:r>
      <w:r w:rsidR="00AA0EC5">
        <w:t xml:space="preserve"> </w:t>
      </w:r>
      <w:r w:rsidRPr="00AA0EC5">
        <w:t>overall board effectiveness. We show how the existence of subgroup factions, differences in rhetorical effectiveness between board members, and individual willingness to violate social conversational norms jointly combine to yield subgroup infl</w:t>
      </w:r>
      <w:r>
        <w:t xml:space="preserve">uence disproportionate to </w:t>
      </w:r>
      <w:r w:rsidR="00FA28B9">
        <w:t>its</w:t>
      </w:r>
      <w:r>
        <w:rPr>
          <w:spacing w:val="-13"/>
        </w:rPr>
        <w:t xml:space="preserve"> </w:t>
      </w:r>
      <w:r>
        <w:t>size. Each</w:t>
      </w:r>
      <w:r>
        <w:rPr>
          <w:spacing w:val="-13"/>
        </w:rPr>
        <w:t xml:space="preserve"> </w:t>
      </w:r>
      <w:r>
        <w:t>assumption</w:t>
      </w:r>
      <w:r>
        <w:rPr>
          <w:spacing w:val="-13"/>
        </w:rPr>
        <w:t xml:space="preserve"> </w:t>
      </w:r>
      <w:r>
        <w:t>of</w:t>
      </w:r>
      <w:r>
        <w:rPr>
          <w:spacing w:val="-13"/>
        </w:rPr>
        <w:t xml:space="preserve"> </w:t>
      </w:r>
      <w:r>
        <w:t>the</w:t>
      </w:r>
      <w:r>
        <w:rPr>
          <w:spacing w:val="-13"/>
        </w:rPr>
        <w:t xml:space="preserve"> </w:t>
      </w:r>
      <w:r>
        <w:t>agent</w:t>
      </w:r>
      <w:r w:rsidR="003644AF">
        <w:rPr>
          <w:spacing w:val="-13"/>
        </w:rPr>
        <w:t>-</w:t>
      </w:r>
      <w:r>
        <w:t>based</w:t>
      </w:r>
      <w:r>
        <w:rPr>
          <w:spacing w:val="-13"/>
        </w:rPr>
        <w:t xml:space="preserve"> </w:t>
      </w:r>
      <w:r>
        <w:t>model</w:t>
      </w:r>
      <w:r>
        <w:rPr>
          <w:spacing w:val="-13"/>
        </w:rPr>
        <w:t xml:space="preserve"> </w:t>
      </w:r>
      <w:r>
        <w:t>is</w:t>
      </w:r>
      <w:r>
        <w:rPr>
          <w:spacing w:val="-13"/>
        </w:rPr>
        <w:t xml:space="preserve"> </w:t>
      </w:r>
      <w:r>
        <w:t>motivated</w:t>
      </w:r>
      <w:r>
        <w:rPr>
          <w:spacing w:val="-13"/>
        </w:rPr>
        <w:t xml:space="preserve"> </w:t>
      </w:r>
      <w:r>
        <w:t>by</w:t>
      </w:r>
      <w:r>
        <w:rPr>
          <w:spacing w:val="-13"/>
        </w:rPr>
        <w:t xml:space="preserve"> </w:t>
      </w:r>
      <w:r>
        <w:t>work</w:t>
      </w:r>
      <w:r>
        <w:rPr>
          <w:spacing w:val="-13"/>
        </w:rPr>
        <w:t xml:space="preserve"> </w:t>
      </w:r>
      <w:r>
        <w:t>in</w:t>
      </w:r>
      <w:r>
        <w:rPr>
          <w:spacing w:val="-13"/>
        </w:rPr>
        <w:t xml:space="preserve"> </w:t>
      </w:r>
      <w:r>
        <w:t>social</w:t>
      </w:r>
      <w:r>
        <w:rPr>
          <w:spacing w:val="-13"/>
        </w:rPr>
        <w:t xml:space="preserve"> </w:t>
      </w:r>
      <w:r>
        <w:t xml:space="preserve">psychology </w:t>
      </w:r>
      <w:r w:rsidR="00641DFD">
        <w:t>observing</w:t>
      </w:r>
      <w:r w:rsidR="00641DFD">
        <w:rPr>
          <w:spacing w:val="-4"/>
        </w:rPr>
        <w:t xml:space="preserve"> </w:t>
      </w:r>
      <w:r>
        <w:t>that</w:t>
      </w:r>
      <w:r>
        <w:rPr>
          <w:spacing w:val="-4"/>
        </w:rPr>
        <w:t xml:space="preserve"> </w:t>
      </w:r>
      <w:r>
        <w:t>powerful</w:t>
      </w:r>
      <w:r>
        <w:rPr>
          <w:spacing w:val="-5"/>
        </w:rPr>
        <w:t xml:space="preserve"> </w:t>
      </w:r>
      <w:r>
        <w:t>rhetorical</w:t>
      </w:r>
      <w:r>
        <w:rPr>
          <w:spacing w:val="-4"/>
        </w:rPr>
        <w:t xml:space="preserve"> </w:t>
      </w:r>
      <w:r>
        <w:t>style</w:t>
      </w:r>
      <w:r>
        <w:rPr>
          <w:spacing w:val="-4"/>
        </w:rPr>
        <w:t xml:space="preserve"> </w:t>
      </w:r>
      <w:r>
        <w:t>may</w:t>
      </w:r>
      <w:r>
        <w:rPr>
          <w:spacing w:val="-4"/>
        </w:rPr>
        <w:t xml:space="preserve"> </w:t>
      </w:r>
      <w:r>
        <w:t>be</w:t>
      </w:r>
      <w:r>
        <w:rPr>
          <w:spacing w:val="-5"/>
        </w:rPr>
        <w:t xml:space="preserve"> </w:t>
      </w:r>
      <w:r>
        <w:t>more</w:t>
      </w:r>
      <w:r>
        <w:rPr>
          <w:spacing w:val="-4"/>
        </w:rPr>
        <w:t xml:space="preserve"> </w:t>
      </w:r>
      <w:r>
        <w:t>influential</w:t>
      </w:r>
      <w:r>
        <w:rPr>
          <w:spacing w:val="-4"/>
        </w:rPr>
        <w:t xml:space="preserve"> </w:t>
      </w:r>
      <w:r>
        <w:t>over</w:t>
      </w:r>
      <w:r>
        <w:rPr>
          <w:spacing w:val="-4"/>
        </w:rPr>
        <w:t xml:space="preserve"> </w:t>
      </w:r>
      <w:r>
        <w:t>deliberation</w:t>
      </w:r>
      <w:r>
        <w:rPr>
          <w:spacing w:val="-4"/>
        </w:rPr>
        <w:t xml:space="preserve"> </w:t>
      </w:r>
      <w:r>
        <w:t>than</w:t>
      </w:r>
      <w:r>
        <w:rPr>
          <w:spacing w:val="-5"/>
        </w:rPr>
        <w:t xml:space="preserve"> </w:t>
      </w:r>
      <w:r>
        <w:t>the</w:t>
      </w:r>
      <w:r>
        <w:rPr>
          <w:spacing w:val="-4"/>
        </w:rPr>
        <w:t xml:space="preserve"> </w:t>
      </w:r>
      <w:r>
        <w:t>propositional content of the arguments advanced.</w:t>
      </w:r>
      <w:r>
        <w:rPr>
          <w:spacing w:val="40"/>
        </w:rPr>
        <w:t xml:space="preserve"> </w:t>
      </w:r>
      <w:r>
        <w:t>Such rhetorical strength may result from the use of powerful</w:t>
      </w:r>
      <w:r>
        <w:rPr>
          <w:spacing w:val="-14"/>
        </w:rPr>
        <w:t xml:space="preserve"> </w:t>
      </w:r>
      <w:r>
        <w:t>speech</w:t>
      </w:r>
      <w:r>
        <w:rPr>
          <w:spacing w:val="-14"/>
        </w:rPr>
        <w:t xml:space="preserve"> </w:t>
      </w:r>
      <w:r>
        <w:t>style</w:t>
      </w:r>
      <w:r>
        <w:rPr>
          <w:spacing w:val="-14"/>
        </w:rPr>
        <w:t xml:space="preserve"> </w:t>
      </w:r>
      <w:r>
        <w:t>(</w:t>
      </w:r>
      <w:proofErr w:type="spellStart"/>
      <w:r>
        <w:t>Gadzhiyeva</w:t>
      </w:r>
      <w:proofErr w:type="spellEnd"/>
      <w:r>
        <w:rPr>
          <w:spacing w:val="-14"/>
        </w:rPr>
        <w:t xml:space="preserve"> </w:t>
      </w:r>
      <w:r>
        <w:t>and</w:t>
      </w:r>
      <w:r>
        <w:rPr>
          <w:spacing w:val="-14"/>
        </w:rPr>
        <w:t xml:space="preserve"> </w:t>
      </w:r>
      <w:r>
        <w:t>Sager,</w:t>
      </w:r>
      <w:r>
        <w:rPr>
          <w:spacing w:val="-14"/>
        </w:rPr>
        <w:t xml:space="preserve"> </w:t>
      </w:r>
      <w:r>
        <w:t>2017;</w:t>
      </w:r>
      <w:r>
        <w:rPr>
          <w:spacing w:val="-14"/>
        </w:rPr>
        <w:t xml:space="preserve"> </w:t>
      </w:r>
      <w:r>
        <w:t>Lakoff,</w:t>
      </w:r>
      <w:r>
        <w:rPr>
          <w:spacing w:val="-14"/>
        </w:rPr>
        <w:t xml:space="preserve"> </w:t>
      </w:r>
      <w:r>
        <w:t>1973;</w:t>
      </w:r>
      <w:r>
        <w:rPr>
          <w:spacing w:val="-14"/>
        </w:rPr>
        <w:t xml:space="preserve"> </w:t>
      </w:r>
      <w:r>
        <w:t>Lev-Ari</w:t>
      </w:r>
      <w:r>
        <w:rPr>
          <w:spacing w:val="-14"/>
        </w:rPr>
        <w:t xml:space="preserve"> </w:t>
      </w:r>
      <w:r>
        <w:t>and</w:t>
      </w:r>
      <w:r>
        <w:rPr>
          <w:spacing w:val="-14"/>
        </w:rPr>
        <w:t xml:space="preserve"> </w:t>
      </w:r>
      <w:proofErr w:type="spellStart"/>
      <w:r>
        <w:t>Keysar</w:t>
      </w:r>
      <w:proofErr w:type="spellEnd"/>
      <w:r>
        <w:t>,</w:t>
      </w:r>
      <w:r>
        <w:rPr>
          <w:spacing w:val="-14"/>
        </w:rPr>
        <w:t xml:space="preserve"> </w:t>
      </w:r>
      <w:r>
        <w:t>2010)</w:t>
      </w:r>
      <w:r>
        <w:rPr>
          <w:spacing w:val="-14"/>
        </w:rPr>
        <w:t xml:space="preserve"> </w:t>
      </w:r>
      <w:r>
        <w:t>and violations</w:t>
      </w:r>
      <w:r>
        <w:rPr>
          <w:spacing w:val="-7"/>
        </w:rPr>
        <w:t xml:space="preserve"> </w:t>
      </w:r>
      <w:r>
        <w:t>of</w:t>
      </w:r>
      <w:r>
        <w:rPr>
          <w:spacing w:val="-7"/>
        </w:rPr>
        <w:t xml:space="preserve"> </w:t>
      </w:r>
      <w:r>
        <w:t>turn-taking</w:t>
      </w:r>
      <w:r>
        <w:rPr>
          <w:spacing w:val="-7"/>
        </w:rPr>
        <w:t xml:space="preserve"> </w:t>
      </w:r>
      <w:r>
        <w:t>(Boden,</w:t>
      </w:r>
      <w:r>
        <w:rPr>
          <w:spacing w:val="-7"/>
        </w:rPr>
        <w:t xml:space="preserve"> </w:t>
      </w:r>
      <w:r>
        <w:t>1983,</w:t>
      </w:r>
      <w:r>
        <w:rPr>
          <w:spacing w:val="-7"/>
        </w:rPr>
        <w:t xml:space="preserve"> </w:t>
      </w:r>
      <w:r>
        <w:t>1994;</w:t>
      </w:r>
      <w:r>
        <w:rPr>
          <w:spacing w:val="-7"/>
        </w:rPr>
        <w:t xml:space="preserve"> </w:t>
      </w:r>
      <w:r>
        <w:t>Sacks</w:t>
      </w:r>
      <w:r>
        <w:rPr>
          <w:spacing w:val="-7"/>
        </w:rPr>
        <w:t xml:space="preserve"> </w:t>
      </w:r>
      <w:r>
        <w:t>et</w:t>
      </w:r>
      <w:r>
        <w:rPr>
          <w:spacing w:val="-7"/>
        </w:rPr>
        <w:t xml:space="preserve"> </w:t>
      </w:r>
      <w:r>
        <w:t>al.,</w:t>
      </w:r>
      <w:r>
        <w:rPr>
          <w:spacing w:val="-7"/>
        </w:rPr>
        <w:t xml:space="preserve"> </w:t>
      </w:r>
      <w:r>
        <w:t>1978</w:t>
      </w:r>
      <w:proofErr w:type="gramStart"/>
      <w:r>
        <w:t>)</w:t>
      </w:r>
      <w:r>
        <w:rPr>
          <w:spacing w:val="-7"/>
        </w:rPr>
        <w:t xml:space="preserve"> </w:t>
      </w:r>
      <w:r w:rsidR="005830CC">
        <w:rPr>
          <w:spacing w:val="-7"/>
        </w:rPr>
        <w:t>.</w:t>
      </w:r>
      <w:proofErr w:type="gramEnd"/>
      <w:r w:rsidR="005830CC">
        <w:rPr>
          <w:spacing w:val="-7"/>
        </w:rPr>
        <w:t xml:space="preserve">  These </w:t>
      </w:r>
      <w:proofErr w:type="gramStart"/>
      <w:r w:rsidR="005830CC">
        <w:rPr>
          <w:spacing w:val="-7"/>
        </w:rPr>
        <w:t>assumption</w:t>
      </w:r>
      <w:r w:rsidR="005C7FA7">
        <w:rPr>
          <w:spacing w:val="-7"/>
        </w:rPr>
        <w:t>s</w:t>
      </w:r>
      <w:r w:rsidR="005830CC">
        <w:rPr>
          <w:spacing w:val="-7"/>
        </w:rPr>
        <w:t xml:space="preserve"> </w:t>
      </w:r>
      <w:r>
        <w:rPr>
          <w:spacing w:val="-7"/>
        </w:rPr>
        <w:t xml:space="preserve"> </w:t>
      </w:r>
      <w:r>
        <w:t>are</w:t>
      </w:r>
      <w:proofErr w:type="gramEnd"/>
      <w:r>
        <w:rPr>
          <w:spacing w:val="-7"/>
        </w:rPr>
        <w:t xml:space="preserve"> </w:t>
      </w:r>
      <w:r>
        <w:t>supported</w:t>
      </w:r>
      <w:r>
        <w:rPr>
          <w:spacing w:val="-7"/>
        </w:rPr>
        <w:t xml:space="preserve"> </w:t>
      </w:r>
      <w:r>
        <w:t>empirically</w:t>
      </w:r>
      <w:r>
        <w:rPr>
          <w:spacing w:val="-7"/>
        </w:rPr>
        <w:t xml:space="preserve"> </w:t>
      </w:r>
      <w:r>
        <w:t xml:space="preserve">by a </w:t>
      </w:r>
      <w:r w:rsidR="005830CC">
        <w:t xml:space="preserve">detailed </w:t>
      </w:r>
      <w:r>
        <w:t>analysis of the discussion in two board meetings of a major international regulatory agency, the International Accounting Standards Board (IASB).</w:t>
      </w:r>
      <w:r w:rsidR="005830CC">
        <w:t xml:space="preserve"> </w:t>
      </w:r>
    </w:p>
    <w:p w14:paraId="44C71955" w14:textId="77777777" w:rsidR="00D66AD3" w:rsidRDefault="00D66AD3" w:rsidP="00AA0EC5">
      <w:pPr>
        <w:pStyle w:val="BodyText"/>
      </w:pPr>
    </w:p>
    <w:p w14:paraId="25239BD6" w14:textId="77777777" w:rsidR="00D66AD3" w:rsidRDefault="00B04FC3" w:rsidP="00605D01">
      <w:pPr>
        <w:pStyle w:val="Heading1"/>
        <w:rPr>
          <w:spacing w:val="-2"/>
        </w:rPr>
      </w:pPr>
      <w:r w:rsidRPr="00AA0EC5">
        <w:t>D</w:t>
      </w:r>
      <w:r w:rsidR="00605D01">
        <w:t>ESCRIPTION OF THE MODEL AND SIMULATION RESULTS</w:t>
      </w:r>
    </w:p>
    <w:p w14:paraId="621E1EEE" w14:textId="77777777" w:rsidR="00AA0EC5" w:rsidRPr="00AA0EC5" w:rsidRDefault="00AA0EC5" w:rsidP="00AA0EC5">
      <w:pPr>
        <w:pStyle w:val="BodyText"/>
        <w:jc w:val="center"/>
        <w:rPr>
          <w:b/>
          <w:bCs/>
          <w:caps/>
        </w:rPr>
      </w:pPr>
    </w:p>
    <w:p w14:paraId="38958786" w14:textId="77777777" w:rsidR="00830A62" w:rsidRDefault="00830A62" w:rsidP="00AA0EC5">
      <w:pPr>
        <w:pStyle w:val="BodyText"/>
      </w:pPr>
      <w:r>
        <w:t>A</w:t>
      </w:r>
      <w:r w:rsidRPr="008719C9">
        <w:t xml:space="preserve">ssume the board is of size </w:t>
      </w:r>
      <m:oMath>
        <m:r>
          <w:rPr>
            <w:rFonts w:ascii="Cambria Math" w:hAnsi="Cambria Math"/>
          </w:rPr>
          <m:t>N</m:t>
        </m:r>
      </m:oMath>
      <w:r w:rsidRPr="008719C9">
        <w:t xml:space="preserve"> and that it is partitioned into groups of two types, </w:t>
      </w:r>
      <m:oMath>
        <m:sSub>
          <m:sSubPr>
            <m:ctrlPr>
              <w:rPr>
                <w:rFonts w:ascii="Cambria Math" w:hAnsi="Cambria Math"/>
              </w:rPr>
            </m:ctrlPr>
          </m:sSubPr>
          <m:e>
            <m:r>
              <w:rPr>
                <w:rFonts w:ascii="Cambria Math" w:hAnsi="Cambria Math"/>
              </w:rPr>
              <m:t>T</m:t>
            </m:r>
          </m:e>
          <m:sub>
            <m:r>
              <w:rPr>
                <w:rFonts w:ascii="Cambria Math" w:hAnsi="Cambria Math"/>
              </w:rPr>
              <m:t>1</m:t>
            </m:r>
          </m:sub>
        </m:sSub>
      </m:oMath>
      <w:r w:rsidRPr="008719C9">
        <w:t xml:space="preserve"> and </w:t>
      </w:r>
      <m:oMath>
        <m:sSub>
          <m:sSubPr>
            <m:ctrlPr>
              <w:rPr>
                <w:rFonts w:ascii="Cambria Math" w:hAnsi="Cambria Math"/>
              </w:rPr>
            </m:ctrlPr>
          </m:sSubPr>
          <m:e>
            <m:r>
              <w:rPr>
                <w:rFonts w:ascii="Cambria Math" w:hAnsi="Cambria Math"/>
              </w:rPr>
              <m:t>T</m:t>
            </m:r>
          </m:e>
          <m:sub>
            <m:r>
              <w:rPr>
                <w:rFonts w:ascii="Cambria Math" w:hAnsi="Cambria Math"/>
              </w:rPr>
              <m:t>2</m:t>
            </m:r>
          </m:sub>
        </m:sSub>
      </m:oMath>
      <w:r w:rsidRPr="008719C9">
        <w:t xml:space="preserve">, of size </w:t>
      </w:r>
      <m:oMath>
        <m:sSub>
          <m:sSubPr>
            <m:ctrlPr>
              <w:rPr>
                <w:rFonts w:ascii="Cambria Math" w:hAnsi="Cambria Math"/>
              </w:rPr>
            </m:ctrlPr>
          </m:sSubPr>
          <m:e>
            <m:r>
              <w:rPr>
                <w:rFonts w:ascii="Cambria Math" w:hAnsi="Cambria Math"/>
              </w:rPr>
              <m:t>N</m:t>
            </m:r>
          </m:e>
          <m:sub>
            <m:r>
              <w:rPr>
                <w:rFonts w:ascii="Cambria Math" w:hAnsi="Cambria Math"/>
              </w:rPr>
              <m:t>1</m:t>
            </m:r>
          </m:sub>
        </m:sSub>
      </m:oMath>
      <w:r w:rsidRPr="008719C9">
        <w:t xml:space="preserve"> and </w:t>
      </w:r>
      <m:oMath>
        <m:sSub>
          <m:sSubPr>
            <m:ctrlPr>
              <w:rPr>
                <w:rFonts w:ascii="Cambria Math" w:hAnsi="Cambria Math"/>
              </w:rPr>
            </m:ctrlPr>
          </m:sSubPr>
          <m:e>
            <m:r>
              <w:rPr>
                <w:rFonts w:ascii="Cambria Math" w:hAnsi="Cambria Math"/>
              </w:rPr>
              <m:t>N</m:t>
            </m:r>
          </m:e>
          <m:sub>
            <m:r>
              <w:rPr>
                <w:rFonts w:ascii="Cambria Math" w:hAnsi="Cambria Math"/>
              </w:rPr>
              <m:t>2</m:t>
            </m:r>
          </m:sub>
        </m:sSub>
      </m:oMath>
      <w:r w:rsidRPr="008719C9">
        <w:t xml:space="preserve"> respectively. We assume that </w:t>
      </w:r>
      <m:oMath>
        <m:sSub>
          <m:sSubPr>
            <m:ctrlPr>
              <w:rPr>
                <w:rFonts w:ascii="Cambria Math" w:hAnsi="Cambria Math"/>
              </w:rPr>
            </m:ctrlPr>
          </m:sSubPr>
          <m:e>
            <m:r>
              <w:rPr>
                <w:rFonts w:ascii="Cambria Math" w:hAnsi="Cambria Math"/>
              </w:rPr>
              <m:t>N</m:t>
            </m:r>
          </m:e>
          <m:sub>
            <m:r>
              <w:rPr>
                <w:rFonts w:ascii="Cambria Math" w:hAnsi="Cambria Math"/>
              </w:rPr>
              <m:t>1</m:t>
            </m:r>
          </m:sub>
        </m:sSub>
        <m:r>
          <m:rPr>
            <m:sty m:val="p"/>
          </m:rPr>
          <w:rPr>
            <w:rFonts w:ascii="Cambria Math" w:hAnsi="Cambria Math"/>
          </w:rPr>
          <m:t>&gt;</m:t>
        </m:r>
        <m:sSub>
          <m:sSubPr>
            <m:ctrlPr>
              <w:rPr>
                <w:rFonts w:ascii="Cambria Math" w:hAnsi="Cambria Math"/>
              </w:rPr>
            </m:ctrlPr>
          </m:sSubPr>
          <m:e>
            <m:r>
              <w:rPr>
                <w:rFonts w:ascii="Cambria Math" w:hAnsi="Cambria Math"/>
              </w:rPr>
              <m:t>N</m:t>
            </m:r>
          </m:e>
          <m:sub>
            <m:r>
              <w:rPr>
                <w:rFonts w:ascii="Cambria Math" w:hAnsi="Cambria Math"/>
              </w:rPr>
              <m:t>2</m:t>
            </m:r>
          </m:sub>
        </m:sSub>
        <m:r>
          <m:rPr>
            <m:sty m:val="p"/>
          </m:rPr>
          <w:rPr>
            <w:rFonts w:ascii="Cambria Math" w:hAnsi="Cambria Math"/>
          </w:rPr>
          <m:t>&gt;</m:t>
        </m:r>
        <m:r>
          <w:rPr>
            <w:rFonts w:ascii="Cambria Math" w:hAnsi="Cambria Math"/>
          </w:rPr>
          <m:t>0</m:t>
        </m:r>
      </m:oMath>
      <w:r w:rsidRPr="008719C9">
        <w:t xml:space="preserve">, so that </w:t>
      </w:r>
      <m:oMath>
        <m:sSub>
          <m:sSubPr>
            <m:ctrlPr>
              <w:rPr>
                <w:rFonts w:ascii="Cambria Math" w:hAnsi="Cambria Math"/>
              </w:rPr>
            </m:ctrlPr>
          </m:sSubPr>
          <m:e>
            <m:r>
              <w:rPr>
                <w:rFonts w:ascii="Cambria Math" w:hAnsi="Cambria Math"/>
              </w:rPr>
              <m:t>T</m:t>
            </m:r>
          </m:e>
          <m:sub>
            <m:r>
              <w:rPr>
                <w:rFonts w:ascii="Cambria Math" w:hAnsi="Cambria Math"/>
              </w:rPr>
              <m:t>1</m:t>
            </m:r>
          </m:sub>
        </m:sSub>
      </m:oMath>
      <w:r w:rsidRPr="008719C9">
        <w:t xml:space="preserve"> is capable of winning a majority vote if all members voted the same. It may be the case that </w:t>
      </w:r>
      <m:oMath>
        <m:sSub>
          <m:sSubPr>
            <m:ctrlPr>
              <w:rPr>
                <w:rFonts w:ascii="Cambria Math" w:hAnsi="Cambria Math"/>
              </w:rPr>
            </m:ctrlPr>
          </m:sSubPr>
          <m:e>
            <m:r>
              <w:rPr>
                <w:rFonts w:ascii="Cambria Math" w:hAnsi="Cambria Math"/>
              </w:rPr>
              <m:t>T</m:t>
            </m:r>
          </m:e>
          <m:sub>
            <m:r>
              <w:rPr>
                <w:rFonts w:ascii="Cambria Math" w:hAnsi="Cambria Math"/>
              </w:rPr>
              <m:t>1</m:t>
            </m:r>
          </m:sub>
        </m:sSub>
      </m:oMath>
      <w:r w:rsidRPr="008719C9">
        <w:t xml:space="preserve"> is sufficiently large that it also constitutes a supermajority. The board partitioning represents the existence of two subgroups of opposing views at the beginning of deliberation.</w:t>
      </w:r>
    </w:p>
    <w:p w14:paraId="5B7CEB35" w14:textId="1B25EC69" w:rsidR="00BB7BE2" w:rsidRPr="008719C9" w:rsidRDefault="00BB7BE2" w:rsidP="00BB7BE2">
      <w:pPr>
        <w:pStyle w:val="BodyText"/>
      </w:pPr>
      <w:r w:rsidRPr="008719C9">
        <w:t xml:space="preserve">The board is required to take a binary pro/con decision on an issue based on the outcome of a vote. Each board member has an initial subjective attitude (a “prior”) representing their disposition to vote </w:t>
      </w:r>
      <w:r w:rsidRPr="008719C9">
        <w:rPr>
          <w:i/>
          <w:iCs/>
        </w:rPr>
        <w:t>Pro</w:t>
      </w:r>
      <w:r w:rsidRPr="008719C9">
        <w:t xml:space="preserve"> or </w:t>
      </w:r>
      <w:r w:rsidRPr="008719C9">
        <w:rPr>
          <w:i/>
          <w:iCs/>
        </w:rPr>
        <w:t>Con</w:t>
      </w:r>
      <w:r w:rsidRPr="008719C9">
        <w:t>. At the beginning, board members of type </w:t>
      </w:r>
      <m:oMath>
        <m:sSub>
          <m:sSubPr>
            <m:ctrlPr>
              <w:rPr>
                <w:rFonts w:ascii="Cambria Math" w:hAnsi="Cambria Math"/>
              </w:rPr>
            </m:ctrlPr>
          </m:sSubPr>
          <m:e>
            <m:r>
              <w:rPr>
                <w:rFonts w:ascii="Cambria Math" w:hAnsi="Cambria Math"/>
              </w:rPr>
              <m:t>T</m:t>
            </m:r>
          </m:e>
          <m:sub>
            <m:r>
              <w:rPr>
                <w:rFonts w:ascii="Cambria Math" w:hAnsi="Cambria Math"/>
              </w:rPr>
              <m:t>1</m:t>
            </m:r>
          </m:sub>
        </m:sSub>
      </m:oMath>
      <w:r w:rsidRPr="008719C9">
        <w:t xml:space="preserve"> are primarily disposed to vote </w:t>
      </w:r>
      <w:r w:rsidRPr="008719C9">
        <w:rPr>
          <w:i/>
          <w:iCs/>
        </w:rPr>
        <w:t>Con</w:t>
      </w:r>
      <w:r w:rsidRPr="008719C9">
        <w:t xml:space="preserve"> whereas members of type </w:t>
      </w:r>
      <m:oMath>
        <m:sSub>
          <m:sSubPr>
            <m:ctrlPr>
              <w:rPr>
                <w:rFonts w:ascii="Cambria Math" w:hAnsi="Cambria Math"/>
              </w:rPr>
            </m:ctrlPr>
          </m:sSubPr>
          <m:e>
            <m:r>
              <w:rPr>
                <w:rFonts w:ascii="Cambria Math" w:hAnsi="Cambria Math"/>
              </w:rPr>
              <m:t>T</m:t>
            </m:r>
          </m:e>
          <m:sub>
            <m:r>
              <w:rPr>
                <w:rFonts w:ascii="Cambria Math" w:hAnsi="Cambria Math"/>
              </w:rPr>
              <m:t>2</m:t>
            </m:r>
          </m:sub>
        </m:sSub>
      </m:oMath>
      <w:r w:rsidRPr="008719C9">
        <w:t xml:space="preserve"> are primarily disposed to vote </w:t>
      </w:r>
      <w:r w:rsidRPr="008719C9">
        <w:rPr>
          <w:i/>
          <w:iCs/>
        </w:rPr>
        <w:t>Pro</w:t>
      </w:r>
      <w:r w:rsidRPr="008719C9">
        <w:t xml:space="preserve">. However, neither type of board member is wholly opposed (or in favor) of the motion. We assume the prior of </w:t>
      </w:r>
      <m:oMath>
        <m:sSub>
          <m:sSubPr>
            <m:ctrlPr>
              <w:rPr>
                <w:rFonts w:ascii="Cambria Math" w:hAnsi="Cambria Math"/>
              </w:rPr>
            </m:ctrlPr>
          </m:sSubPr>
          <m:e>
            <m:r>
              <w:rPr>
                <w:rFonts w:ascii="Cambria Math" w:hAnsi="Cambria Math"/>
              </w:rPr>
              <m:t>T</m:t>
            </m:r>
          </m:e>
          <m:sub>
            <m:r>
              <w:rPr>
                <w:rFonts w:ascii="Cambria Math" w:hAnsi="Cambria Math"/>
              </w:rPr>
              <m:t>1</m:t>
            </m:r>
          </m:sub>
        </m:sSub>
      </m:oMath>
      <w:r w:rsidRPr="008719C9">
        <w:t xml:space="preserve">-members assigns only a 10% chance of that member voting </w:t>
      </w:r>
      <w:r w:rsidRPr="008719C9">
        <w:rPr>
          <w:i/>
          <w:iCs/>
        </w:rPr>
        <w:t>Pro</w:t>
      </w:r>
      <w:r w:rsidRPr="008719C9">
        <w:t xml:space="preserve">, and the prior of </w:t>
      </w:r>
      <m:oMath>
        <m:sSub>
          <m:sSubPr>
            <m:ctrlPr>
              <w:rPr>
                <w:rFonts w:ascii="Cambria Math" w:hAnsi="Cambria Math"/>
              </w:rPr>
            </m:ctrlPr>
          </m:sSubPr>
          <m:e>
            <m:r>
              <w:rPr>
                <w:rFonts w:ascii="Cambria Math" w:hAnsi="Cambria Math"/>
              </w:rPr>
              <m:t>T</m:t>
            </m:r>
          </m:e>
          <m:sub>
            <m:r>
              <w:rPr>
                <w:rFonts w:ascii="Cambria Math" w:hAnsi="Cambria Math"/>
              </w:rPr>
              <m:t>2</m:t>
            </m:r>
          </m:sub>
        </m:sSub>
      </m:oMath>
      <w:r w:rsidRPr="008719C9">
        <w:t xml:space="preserve">-members assigns a 90% chance of that member voting </w:t>
      </w:r>
      <w:r w:rsidRPr="008719C9">
        <w:rPr>
          <w:i/>
          <w:iCs/>
        </w:rPr>
        <w:t>Pro</w:t>
      </w:r>
      <w:r w:rsidRPr="008719C9">
        <w:t xml:space="preserve">. The priors can be seen as reflecting the individual’s beliefs, based either on information or ideology, on the respective merits of the </w:t>
      </w:r>
      <w:r w:rsidRPr="008719C9">
        <w:rPr>
          <w:i/>
          <w:iCs/>
        </w:rPr>
        <w:t>Pro</w:t>
      </w:r>
      <w:r w:rsidRPr="008719C9">
        <w:t xml:space="preserve"> and </w:t>
      </w:r>
      <w:r w:rsidRPr="008719C9">
        <w:rPr>
          <w:i/>
          <w:iCs/>
        </w:rPr>
        <w:t>Con</w:t>
      </w:r>
      <w:r w:rsidRPr="008719C9">
        <w:t xml:space="preserve"> position. The reason all members of the same subgroup have the </w:t>
      </w:r>
      <w:r w:rsidRPr="008719C9">
        <w:rPr>
          <w:i/>
          <w:iCs/>
        </w:rPr>
        <w:t>same</w:t>
      </w:r>
      <w:r w:rsidRPr="008719C9">
        <w:t xml:space="preserve"> prior is that this represents polari</w:t>
      </w:r>
      <w:r w:rsidR="00FA28B9">
        <w:t>z</w:t>
      </w:r>
      <w:r w:rsidRPr="008719C9">
        <w:t>ation of the board.</w:t>
      </w:r>
    </w:p>
    <w:p w14:paraId="62582DB0" w14:textId="6B5BBDAE" w:rsidR="00A1412E" w:rsidRDefault="00B04FC3" w:rsidP="00811090">
      <w:pPr>
        <w:pStyle w:val="BodyText"/>
      </w:pPr>
      <w:r>
        <w:t>We assume a boundedly rational model of group deliberation in which board members adjust their</w:t>
      </w:r>
      <w:r>
        <w:rPr>
          <w:spacing w:val="-14"/>
        </w:rPr>
        <w:t xml:space="preserve"> </w:t>
      </w:r>
      <w:r>
        <w:t>beliefs</w:t>
      </w:r>
      <w:r>
        <w:rPr>
          <w:spacing w:val="-14"/>
        </w:rPr>
        <w:t xml:space="preserve"> </w:t>
      </w:r>
      <w:r>
        <w:t>using</w:t>
      </w:r>
      <w:r>
        <w:rPr>
          <w:spacing w:val="-14"/>
        </w:rPr>
        <w:t xml:space="preserve"> </w:t>
      </w:r>
      <w:r>
        <w:t>reinforcement</w:t>
      </w:r>
      <w:r>
        <w:rPr>
          <w:spacing w:val="-14"/>
        </w:rPr>
        <w:t xml:space="preserve"> </w:t>
      </w:r>
      <w:r>
        <w:t>learning</w:t>
      </w:r>
      <w:r>
        <w:rPr>
          <w:spacing w:val="-14"/>
        </w:rPr>
        <w:t xml:space="preserve"> </w:t>
      </w:r>
      <w:r>
        <w:t>in</w:t>
      </w:r>
      <w:r>
        <w:rPr>
          <w:spacing w:val="-14"/>
        </w:rPr>
        <w:t xml:space="preserve"> </w:t>
      </w:r>
      <w:r>
        <w:t>light</w:t>
      </w:r>
      <w:r>
        <w:rPr>
          <w:spacing w:val="-14"/>
        </w:rPr>
        <w:t xml:space="preserve"> </w:t>
      </w:r>
      <w:r>
        <w:t>of</w:t>
      </w:r>
      <w:r>
        <w:rPr>
          <w:spacing w:val="-14"/>
        </w:rPr>
        <w:t xml:space="preserve"> </w:t>
      </w:r>
      <w:r>
        <w:t>new</w:t>
      </w:r>
      <w:r>
        <w:rPr>
          <w:spacing w:val="-14"/>
        </w:rPr>
        <w:t xml:space="preserve"> </w:t>
      </w:r>
      <w:r>
        <w:t>information</w:t>
      </w:r>
      <w:r>
        <w:rPr>
          <w:spacing w:val="-14"/>
        </w:rPr>
        <w:t xml:space="preserve"> </w:t>
      </w:r>
      <w:r>
        <w:t>received</w:t>
      </w:r>
      <w:r>
        <w:rPr>
          <w:spacing w:val="-14"/>
        </w:rPr>
        <w:t xml:space="preserve"> </w:t>
      </w:r>
      <w:r>
        <w:t>from</w:t>
      </w:r>
      <w:r>
        <w:rPr>
          <w:spacing w:val="-14"/>
        </w:rPr>
        <w:t xml:space="preserve"> </w:t>
      </w:r>
      <w:r>
        <w:t>conversational exchanges.</w:t>
      </w:r>
      <w:r w:rsidR="00A1412E">
        <w:rPr>
          <w:rStyle w:val="EndnoteReference"/>
        </w:rPr>
        <w:endnoteReference w:id="2"/>
      </w:r>
      <w:r w:rsidR="00A1412E">
        <w:t xml:space="preserve"> </w:t>
      </w:r>
      <w:r>
        <w:t>Reinforcement</w:t>
      </w:r>
      <w:r>
        <w:rPr>
          <w:spacing w:val="-15"/>
        </w:rPr>
        <w:t xml:space="preserve"> </w:t>
      </w:r>
      <w:r>
        <w:t>learning</w:t>
      </w:r>
      <w:r>
        <w:rPr>
          <w:spacing w:val="-15"/>
        </w:rPr>
        <w:t xml:space="preserve"> </w:t>
      </w:r>
      <w:r>
        <w:t>is</w:t>
      </w:r>
      <w:r>
        <w:rPr>
          <w:spacing w:val="-15"/>
        </w:rPr>
        <w:t xml:space="preserve"> </w:t>
      </w:r>
      <w:r>
        <w:t>modelled</w:t>
      </w:r>
      <w:r>
        <w:rPr>
          <w:spacing w:val="-15"/>
        </w:rPr>
        <w:t xml:space="preserve"> </w:t>
      </w:r>
      <w:r>
        <w:t>using</w:t>
      </w:r>
      <w:r>
        <w:rPr>
          <w:spacing w:val="-15"/>
        </w:rPr>
        <w:t xml:space="preserve"> </w:t>
      </w:r>
      <w:r>
        <w:t>the</w:t>
      </w:r>
      <w:r>
        <w:rPr>
          <w:spacing w:val="-15"/>
        </w:rPr>
        <w:t xml:space="preserve"> </w:t>
      </w:r>
      <w:r>
        <w:t>classic</w:t>
      </w:r>
      <w:r>
        <w:rPr>
          <w:spacing w:val="-15"/>
        </w:rPr>
        <w:t xml:space="preserve"> </w:t>
      </w:r>
      <w:r>
        <w:t>method</w:t>
      </w:r>
      <w:r>
        <w:rPr>
          <w:spacing w:val="-15"/>
        </w:rPr>
        <w:t xml:space="preserve"> </w:t>
      </w:r>
      <w:r>
        <w:t>of</w:t>
      </w:r>
      <w:r>
        <w:rPr>
          <w:spacing w:val="-15"/>
        </w:rPr>
        <w:t xml:space="preserve"> </w:t>
      </w:r>
      <w:proofErr w:type="spellStart"/>
      <w:r>
        <w:rPr>
          <w:spacing w:val="13"/>
        </w:rPr>
        <w:t>P</w:t>
      </w:r>
      <w:r>
        <w:rPr>
          <w:spacing w:val="-87"/>
        </w:rPr>
        <w:t>o</w:t>
      </w:r>
      <w:r>
        <w:rPr>
          <w:spacing w:val="32"/>
        </w:rPr>
        <w:t>´</w:t>
      </w:r>
      <w:r>
        <w:rPr>
          <w:spacing w:val="13"/>
        </w:rPr>
        <w:t>lya</w:t>
      </w:r>
      <w:proofErr w:type="spellEnd"/>
      <w:r>
        <w:rPr>
          <w:spacing w:val="-14"/>
        </w:rPr>
        <w:t xml:space="preserve"> </w:t>
      </w:r>
      <w:r>
        <w:t>urns</w:t>
      </w:r>
      <w:r>
        <w:rPr>
          <w:spacing w:val="-15"/>
        </w:rPr>
        <w:t xml:space="preserve"> </w:t>
      </w:r>
      <w:r>
        <w:t>(see</w:t>
      </w:r>
      <w:r>
        <w:rPr>
          <w:spacing w:val="-15"/>
        </w:rPr>
        <w:t xml:space="preserve"> </w:t>
      </w:r>
      <w:r>
        <w:t xml:space="preserve">Johnson and </w:t>
      </w:r>
      <w:proofErr w:type="spellStart"/>
      <w:r>
        <w:t>Kotz</w:t>
      </w:r>
      <w:proofErr w:type="spellEnd"/>
      <w:r>
        <w:t>, 1977; Mahmoud, 2009).</w:t>
      </w:r>
      <w:r>
        <w:rPr>
          <w:spacing w:val="40"/>
        </w:rPr>
        <w:t xml:space="preserve"> </w:t>
      </w:r>
      <w:r>
        <w:t>Each individual has an urn containing a mix of red and green</w:t>
      </w:r>
      <w:r>
        <w:rPr>
          <w:spacing w:val="-8"/>
        </w:rPr>
        <w:t xml:space="preserve"> </w:t>
      </w:r>
      <w:r>
        <w:t>balls,</w:t>
      </w:r>
      <w:r>
        <w:rPr>
          <w:spacing w:val="-8"/>
        </w:rPr>
        <w:t xml:space="preserve"> </w:t>
      </w:r>
      <w:r>
        <w:t>where</w:t>
      </w:r>
      <w:r>
        <w:rPr>
          <w:spacing w:val="-8"/>
        </w:rPr>
        <w:t xml:space="preserve"> </w:t>
      </w:r>
      <w:r>
        <w:t>red</w:t>
      </w:r>
      <w:r>
        <w:rPr>
          <w:spacing w:val="-8"/>
        </w:rPr>
        <w:t xml:space="preserve"> </w:t>
      </w:r>
      <w:r>
        <w:t>represents</w:t>
      </w:r>
      <w:r>
        <w:rPr>
          <w:spacing w:val="-8"/>
        </w:rPr>
        <w:t xml:space="preserve"> </w:t>
      </w:r>
      <w:r>
        <w:rPr>
          <w:i/>
        </w:rPr>
        <w:t>Con</w:t>
      </w:r>
      <w:r>
        <w:rPr>
          <w:i/>
          <w:spacing w:val="-8"/>
        </w:rPr>
        <w:t xml:space="preserve"> </w:t>
      </w:r>
      <w:r>
        <w:t>and</w:t>
      </w:r>
      <w:r>
        <w:rPr>
          <w:spacing w:val="-8"/>
        </w:rPr>
        <w:t xml:space="preserve"> </w:t>
      </w:r>
      <w:r>
        <w:t>green</w:t>
      </w:r>
      <w:r>
        <w:rPr>
          <w:spacing w:val="-8"/>
        </w:rPr>
        <w:t xml:space="preserve"> </w:t>
      </w:r>
      <w:r>
        <w:t>represents</w:t>
      </w:r>
      <w:r>
        <w:rPr>
          <w:spacing w:val="-8"/>
        </w:rPr>
        <w:t xml:space="preserve"> </w:t>
      </w:r>
      <w:r>
        <w:rPr>
          <w:i/>
        </w:rPr>
        <w:t>Pro</w:t>
      </w:r>
      <w:r>
        <w:t>. The</w:t>
      </w:r>
      <w:r>
        <w:rPr>
          <w:spacing w:val="-8"/>
        </w:rPr>
        <w:t xml:space="preserve"> </w:t>
      </w:r>
      <w:r>
        <w:t>distribution</w:t>
      </w:r>
      <w:r>
        <w:rPr>
          <w:spacing w:val="-8"/>
        </w:rPr>
        <w:t xml:space="preserve"> </w:t>
      </w:r>
      <w:r>
        <w:t>of</w:t>
      </w:r>
      <w:r>
        <w:rPr>
          <w:spacing w:val="-8"/>
        </w:rPr>
        <w:t xml:space="preserve"> </w:t>
      </w:r>
      <w:r>
        <w:t>ball</w:t>
      </w:r>
      <w:r>
        <w:rPr>
          <w:spacing w:val="-8"/>
        </w:rPr>
        <w:t xml:space="preserve"> </w:t>
      </w:r>
      <w:r>
        <w:t>colors</w:t>
      </w:r>
      <w:r>
        <w:rPr>
          <w:spacing w:val="-8"/>
        </w:rPr>
        <w:t xml:space="preserve"> </w:t>
      </w:r>
      <w:r>
        <w:t>in an</w:t>
      </w:r>
      <w:r>
        <w:rPr>
          <w:spacing w:val="-15"/>
        </w:rPr>
        <w:t xml:space="preserve"> </w:t>
      </w:r>
      <w:r>
        <w:t>individual’s</w:t>
      </w:r>
      <w:r>
        <w:rPr>
          <w:spacing w:val="-15"/>
        </w:rPr>
        <w:t xml:space="preserve"> </w:t>
      </w:r>
      <w:r>
        <w:t>urn</w:t>
      </w:r>
      <w:r>
        <w:rPr>
          <w:spacing w:val="-15"/>
        </w:rPr>
        <w:t xml:space="preserve"> </w:t>
      </w:r>
      <w:r>
        <w:t>represents</w:t>
      </w:r>
      <w:r>
        <w:rPr>
          <w:spacing w:val="-15"/>
        </w:rPr>
        <w:t xml:space="preserve"> </w:t>
      </w:r>
      <w:r>
        <w:t>their</w:t>
      </w:r>
      <w:r>
        <w:rPr>
          <w:spacing w:val="-15"/>
        </w:rPr>
        <w:t xml:space="preserve"> </w:t>
      </w:r>
      <w:r>
        <w:t>degree</w:t>
      </w:r>
      <w:r>
        <w:rPr>
          <w:spacing w:val="-15"/>
        </w:rPr>
        <w:t xml:space="preserve"> </w:t>
      </w:r>
      <w:r>
        <w:t>of</w:t>
      </w:r>
      <w:r>
        <w:rPr>
          <w:spacing w:val="-15"/>
        </w:rPr>
        <w:t xml:space="preserve"> </w:t>
      </w:r>
      <w:r>
        <w:t>belief</w:t>
      </w:r>
      <w:r>
        <w:rPr>
          <w:spacing w:val="-15"/>
        </w:rPr>
        <w:t xml:space="preserve"> </w:t>
      </w:r>
      <w:r>
        <w:t>for</w:t>
      </w:r>
      <w:r>
        <w:rPr>
          <w:spacing w:val="-15"/>
        </w:rPr>
        <w:t xml:space="preserve"> </w:t>
      </w:r>
      <w:r>
        <w:t>the</w:t>
      </w:r>
      <w:r>
        <w:rPr>
          <w:spacing w:val="-15"/>
        </w:rPr>
        <w:t xml:space="preserve"> </w:t>
      </w:r>
      <w:r>
        <w:t>respective</w:t>
      </w:r>
      <w:r>
        <w:rPr>
          <w:spacing w:val="-15"/>
        </w:rPr>
        <w:t xml:space="preserve"> </w:t>
      </w:r>
      <w:r>
        <w:t>positions.</w:t>
      </w:r>
      <w:r>
        <w:rPr>
          <w:spacing w:val="-15"/>
        </w:rPr>
        <w:t xml:space="preserve"> </w:t>
      </w:r>
      <w:r>
        <w:t>For</w:t>
      </w:r>
      <w:r>
        <w:rPr>
          <w:spacing w:val="-15"/>
        </w:rPr>
        <w:t xml:space="preserve"> </w:t>
      </w:r>
      <w:r>
        <w:t>board</w:t>
      </w:r>
      <w:r>
        <w:rPr>
          <w:spacing w:val="-15"/>
        </w:rPr>
        <w:t xml:space="preserve"> </w:t>
      </w:r>
      <w:r>
        <w:lastRenderedPageBreak/>
        <w:t>members of</w:t>
      </w:r>
      <w:r>
        <w:rPr>
          <w:spacing w:val="-8"/>
        </w:rPr>
        <w:t xml:space="preserve"> </w:t>
      </w:r>
      <w:r>
        <w:t>type</w:t>
      </w:r>
      <w:r>
        <w:rPr>
          <w:spacing w:val="-8"/>
        </w:rPr>
        <w:t xml:space="preserve"> </w:t>
      </w:r>
      <w:r>
        <w:rPr>
          <w:i/>
        </w:rPr>
        <w:t>T</w:t>
      </w:r>
      <w:r>
        <w:rPr>
          <w:vertAlign w:val="subscript"/>
        </w:rPr>
        <w:t>1</w:t>
      </w:r>
      <w:r>
        <w:t>,</w:t>
      </w:r>
      <w:r>
        <w:rPr>
          <w:spacing w:val="-7"/>
        </w:rPr>
        <w:t xml:space="preserve"> </w:t>
      </w:r>
      <w:r>
        <w:t>the</w:t>
      </w:r>
      <w:r>
        <w:rPr>
          <w:spacing w:val="-8"/>
        </w:rPr>
        <w:t xml:space="preserve"> </w:t>
      </w:r>
      <w:r>
        <w:t>urn</w:t>
      </w:r>
      <w:r>
        <w:rPr>
          <w:spacing w:val="-8"/>
        </w:rPr>
        <w:t xml:space="preserve"> </w:t>
      </w:r>
      <w:r>
        <w:t>composition</w:t>
      </w:r>
      <w:r>
        <w:rPr>
          <w:spacing w:val="-8"/>
        </w:rPr>
        <w:t xml:space="preserve"> </w:t>
      </w:r>
      <w:r>
        <w:t>is</w:t>
      </w:r>
      <w:r>
        <w:rPr>
          <w:spacing w:val="-8"/>
        </w:rPr>
        <w:t xml:space="preserve"> </w:t>
      </w:r>
      <w:r>
        <w:t>90%</w:t>
      </w:r>
      <w:r>
        <w:rPr>
          <w:spacing w:val="-8"/>
        </w:rPr>
        <w:t xml:space="preserve"> </w:t>
      </w:r>
      <w:r>
        <w:t>red</w:t>
      </w:r>
      <w:r>
        <w:rPr>
          <w:spacing w:val="-8"/>
        </w:rPr>
        <w:t xml:space="preserve"> </w:t>
      </w:r>
      <w:r>
        <w:t>and</w:t>
      </w:r>
      <w:r>
        <w:rPr>
          <w:spacing w:val="-9"/>
        </w:rPr>
        <w:t xml:space="preserve"> </w:t>
      </w:r>
      <w:r>
        <w:t>10%</w:t>
      </w:r>
      <w:r>
        <w:rPr>
          <w:spacing w:val="-8"/>
        </w:rPr>
        <w:t xml:space="preserve"> </w:t>
      </w:r>
      <w:r>
        <w:t>green</w:t>
      </w:r>
      <w:r>
        <w:rPr>
          <w:spacing w:val="-8"/>
        </w:rPr>
        <w:t xml:space="preserve"> </w:t>
      </w:r>
      <w:r>
        <w:t>balls;</w:t>
      </w:r>
      <w:r>
        <w:rPr>
          <w:spacing w:val="-6"/>
        </w:rPr>
        <w:t xml:space="preserve"> </w:t>
      </w:r>
      <w:r>
        <w:t>for</w:t>
      </w:r>
      <w:r>
        <w:rPr>
          <w:spacing w:val="-8"/>
        </w:rPr>
        <w:t xml:space="preserve"> </w:t>
      </w:r>
      <w:r>
        <w:t>board</w:t>
      </w:r>
      <w:r>
        <w:rPr>
          <w:spacing w:val="-8"/>
        </w:rPr>
        <w:t xml:space="preserve"> </w:t>
      </w:r>
      <w:r>
        <w:t>members</w:t>
      </w:r>
      <w:r>
        <w:rPr>
          <w:spacing w:val="-8"/>
        </w:rPr>
        <w:t xml:space="preserve"> </w:t>
      </w:r>
      <w:r>
        <w:t>of</w:t>
      </w:r>
      <w:r>
        <w:rPr>
          <w:spacing w:val="-8"/>
        </w:rPr>
        <w:t xml:space="preserve"> </w:t>
      </w:r>
      <w:r>
        <w:t>type</w:t>
      </w:r>
      <w:r>
        <w:rPr>
          <w:spacing w:val="-9"/>
        </w:rPr>
        <w:t xml:space="preserve"> </w:t>
      </w:r>
      <w:r>
        <w:rPr>
          <w:i/>
        </w:rPr>
        <w:t>T</w:t>
      </w:r>
      <w:r>
        <w:rPr>
          <w:vertAlign w:val="subscript"/>
        </w:rPr>
        <w:t>2</w:t>
      </w:r>
      <w:r>
        <w:t>,</w:t>
      </w:r>
      <w:r>
        <w:rPr>
          <w:spacing w:val="-7"/>
        </w:rPr>
        <w:t xml:space="preserve"> </w:t>
      </w:r>
      <w:r>
        <w:t>the urn contains 10% red balls and 90% green balls.</w:t>
      </w:r>
      <w:r>
        <w:rPr>
          <w:spacing w:val="32"/>
        </w:rPr>
        <w:t xml:space="preserve"> </w:t>
      </w:r>
      <w:r>
        <w:t>Reinforcement learning is modelled by an individual</w:t>
      </w:r>
      <w:r>
        <w:rPr>
          <w:spacing w:val="-9"/>
        </w:rPr>
        <w:t xml:space="preserve"> </w:t>
      </w:r>
      <w:r>
        <w:t>adding</w:t>
      </w:r>
      <w:r>
        <w:rPr>
          <w:spacing w:val="-9"/>
        </w:rPr>
        <w:t xml:space="preserve"> </w:t>
      </w:r>
      <w:r>
        <w:t>additional</w:t>
      </w:r>
      <w:r>
        <w:rPr>
          <w:spacing w:val="-9"/>
        </w:rPr>
        <w:t xml:space="preserve"> </w:t>
      </w:r>
      <w:r>
        <w:t>balls</w:t>
      </w:r>
      <w:r>
        <w:rPr>
          <w:spacing w:val="-9"/>
        </w:rPr>
        <w:t xml:space="preserve"> </w:t>
      </w:r>
      <w:r>
        <w:t>of</w:t>
      </w:r>
      <w:r>
        <w:rPr>
          <w:spacing w:val="-9"/>
        </w:rPr>
        <w:t xml:space="preserve"> </w:t>
      </w:r>
      <w:r>
        <w:t>the</w:t>
      </w:r>
      <w:r>
        <w:rPr>
          <w:spacing w:val="-9"/>
        </w:rPr>
        <w:t xml:space="preserve"> </w:t>
      </w:r>
      <w:r>
        <w:t>appropriate</w:t>
      </w:r>
      <w:r>
        <w:rPr>
          <w:spacing w:val="-10"/>
        </w:rPr>
        <w:t xml:space="preserve"> </w:t>
      </w:r>
      <w:r>
        <w:t>color</w:t>
      </w:r>
      <w:r>
        <w:rPr>
          <w:spacing w:val="-9"/>
        </w:rPr>
        <w:t xml:space="preserve"> </w:t>
      </w:r>
      <w:r>
        <w:t>to</w:t>
      </w:r>
      <w:r>
        <w:rPr>
          <w:spacing w:val="-9"/>
        </w:rPr>
        <w:t xml:space="preserve"> </w:t>
      </w:r>
      <w:r>
        <w:t>their</w:t>
      </w:r>
      <w:r>
        <w:rPr>
          <w:spacing w:val="-9"/>
        </w:rPr>
        <w:t xml:space="preserve"> </w:t>
      </w:r>
      <w:r>
        <w:t>urn. Since</w:t>
      </w:r>
      <w:r>
        <w:rPr>
          <w:spacing w:val="-10"/>
        </w:rPr>
        <w:t xml:space="preserve"> </w:t>
      </w:r>
      <w:r>
        <w:t>there</w:t>
      </w:r>
      <w:r>
        <w:rPr>
          <w:spacing w:val="-9"/>
        </w:rPr>
        <w:t xml:space="preserve"> </w:t>
      </w:r>
      <w:r>
        <w:t>are</w:t>
      </w:r>
      <w:r>
        <w:rPr>
          <w:spacing w:val="-9"/>
        </w:rPr>
        <w:t xml:space="preserve"> </w:t>
      </w:r>
      <w:r>
        <w:t>many</w:t>
      </w:r>
      <w:r>
        <w:rPr>
          <w:spacing w:val="-9"/>
        </w:rPr>
        <w:t xml:space="preserve"> </w:t>
      </w:r>
      <w:r>
        <w:t>different urn</w:t>
      </w:r>
      <w:r>
        <w:rPr>
          <w:spacing w:val="-11"/>
        </w:rPr>
        <w:t xml:space="preserve"> </w:t>
      </w:r>
      <w:r>
        <w:t>compositions</w:t>
      </w:r>
      <w:r>
        <w:rPr>
          <w:spacing w:val="-11"/>
        </w:rPr>
        <w:t xml:space="preserve"> </w:t>
      </w:r>
      <w:r>
        <w:t>which</w:t>
      </w:r>
      <w:r>
        <w:rPr>
          <w:spacing w:val="-11"/>
        </w:rPr>
        <w:t xml:space="preserve"> </w:t>
      </w:r>
      <w:r>
        <w:t>have</w:t>
      </w:r>
      <w:r>
        <w:rPr>
          <w:spacing w:val="-11"/>
        </w:rPr>
        <w:t xml:space="preserve"> </w:t>
      </w:r>
      <w:r>
        <w:t>the</w:t>
      </w:r>
      <w:r>
        <w:rPr>
          <w:spacing w:val="-11"/>
        </w:rPr>
        <w:t xml:space="preserve"> </w:t>
      </w:r>
      <w:r>
        <w:t>same</w:t>
      </w:r>
      <w:r>
        <w:rPr>
          <w:spacing w:val="-11"/>
        </w:rPr>
        <w:t xml:space="preserve"> </w:t>
      </w:r>
      <w:r>
        <w:t>proportion</w:t>
      </w:r>
      <w:r>
        <w:rPr>
          <w:spacing w:val="-11"/>
        </w:rPr>
        <w:t xml:space="preserve"> </w:t>
      </w:r>
      <w:r>
        <w:t>of</w:t>
      </w:r>
      <w:r>
        <w:rPr>
          <w:spacing w:val="-11"/>
        </w:rPr>
        <w:t xml:space="preserve"> </w:t>
      </w:r>
      <w:r>
        <w:t>red</w:t>
      </w:r>
      <w:r>
        <w:rPr>
          <w:spacing w:val="-11"/>
        </w:rPr>
        <w:t xml:space="preserve"> </w:t>
      </w:r>
      <w:r>
        <w:t>and</w:t>
      </w:r>
      <w:r>
        <w:rPr>
          <w:spacing w:val="-11"/>
        </w:rPr>
        <w:t xml:space="preserve"> </w:t>
      </w:r>
      <w:r>
        <w:t>green</w:t>
      </w:r>
      <w:r>
        <w:rPr>
          <w:spacing w:val="-11"/>
        </w:rPr>
        <w:t xml:space="preserve"> </w:t>
      </w:r>
      <w:r>
        <w:t>balls,</w:t>
      </w:r>
      <w:r>
        <w:rPr>
          <w:spacing w:val="-10"/>
        </w:rPr>
        <w:t xml:space="preserve"> </w:t>
      </w:r>
      <w:r>
        <w:t>the</w:t>
      </w:r>
      <w:r>
        <w:rPr>
          <w:spacing w:val="-11"/>
        </w:rPr>
        <w:t xml:space="preserve"> </w:t>
      </w:r>
      <w:r>
        <w:t>initial</w:t>
      </w:r>
      <w:r>
        <w:rPr>
          <w:spacing w:val="-11"/>
        </w:rPr>
        <w:t xml:space="preserve"> </w:t>
      </w:r>
      <w:r>
        <w:t>composition</w:t>
      </w:r>
      <w:r>
        <w:rPr>
          <w:spacing w:val="-11"/>
        </w:rPr>
        <w:t xml:space="preserve"> </w:t>
      </w:r>
      <w:r>
        <w:t>of the urn represents how much an individual’s beliefs initially shift in light of new information.</w:t>
      </w:r>
      <w:r w:rsidR="00A1412E">
        <w:rPr>
          <w:rStyle w:val="EndnoteReference"/>
        </w:rPr>
        <w:endnoteReference w:id="3"/>
      </w:r>
    </w:p>
    <w:p w14:paraId="6BDDA62E" w14:textId="04462EA6" w:rsidR="00DC3261" w:rsidRDefault="00DC3261" w:rsidP="00DC3261">
      <w:pPr>
        <w:pStyle w:val="BodyText"/>
      </w:pPr>
      <w:r w:rsidRPr="008719C9">
        <w:t xml:space="preserve">The deliberational dynamics of the board is modelled as a sequence of discrete pairwise conversational exchanges. At each </w:t>
      </w:r>
      <w:proofErr w:type="gramStart"/>
      <w:r w:rsidRPr="008719C9">
        <w:t>step</w:t>
      </w:r>
      <w:r w:rsidR="00FA28B9">
        <w:t xml:space="preserve"> </w:t>
      </w:r>
      <w:r w:rsidRPr="008719C9">
        <w:t>in</w:t>
      </w:r>
      <w:proofErr w:type="gramEnd"/>
      <w:r w:rsidRPr="008719C9">
        <w:t xml:space="preserve"> time, a random pair of board members </w:t>
      </w:r>
      <m:oMath>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j</m:t>
            </m:r>
          </m:e>
        </m:d>
      </m:oMath>
      <w:r w:rsidRPr="008719C9">
        <w:t xml:space="preserve"> is selected from all possible </w:t>
      </w:r>
      <m:oMath>
        <m:d>
          <m:dPr>
            <m:ctrlPr>
              <w:rPr>
                <w:rFonts w:ascii="Cambria Math" w:hAnsi="Cambria Math"/>
              </w:rPr>
            </m:ctrlPr>
          </m:dPr>
          <m:e>
            <m:f>
              <m:fPr>
                <m:type m:val="noBar"/>
                <m:ctrlPr>
                  <w:rPr>
                    <w:rFonts w:ascii="Cambria Math" w:hAnsi="Cambria Math"/>
                  </w:rPr>
                </m:ctrlPr>
              </m:fPr>
              <m:num>
                <m:r>
                  <w:rPr>
                    <w:rFonts w:ascii="Cambria Math" w:hAnsi="Cambria Math"/>
                  </w:rPr>
                  <m:t>N</m:t>
                </m:r>
              </m:num>
              <m:den>
                <m:r>
                  <w:rPr>
                    <w:rFonts w:ascii="Cambria Math" w:hAnsi="Cambria Math"/>
                  </w:rPr>
                  <m:t>2</m:t>
                </m:r>
              </m:den>
            </m:f>
          </m:e>
        </m:d>
      </m:oMath>
      <w:r w:rsidRPr="008719C9">
        <w:t xml:space="preserve"> pairings to exchange views. Each member selects which view to advocate by drawing a ball at random</w:t>
      </w:r>
      <w:r w:rsidR="00A1412E" w:rsidRPr="008719C9">
        <w:t xml:space="preserve"> </w:t>
      </w:r>
      <w:r w:rsidRPr="008719C9">
        <w:t>from their urn and then advancing a supporting argument.</w:t>
      </w:r>
      <w:r w:rsidR="00BF0021">
        <w:t xml:space="preserve"> (The ball is returned after the draw, so sampling does not change the composition of the urn.) </w:t>
      </w:r>
      <w:r w:rsidRPr="008719C9">
        <w:t xml:space="preserve"> We do not assume all individuals have equal argumentative strength in articulating and defending their ideas. Each individual </w:t>
      </w:r>
      <m:oMath>
        <m:r>
          <w:rPr>
            <w:rFonts w:ascii="Cambria Math" w:hAnsi="Cambria Math"/>
          </w:rPr>
          <m:t>i</m:t>
        </m:r>
      </m:oMath>
      <w:r w:rsidRPr="008719C9">
        <w:t xml:space="preserve"> has an </w:t>
      </w:r>
      <w:r w:rsidRPr="008719C9">
        <w:rPr>
          <w:i/>
          <w:iCs/>
        </w:rPr>
        <w:t>argumentative capability</w:t>
      </w:r>
      <w:r w:rsidRPr="008719C9">
        <w:t xml:space="preserve">, modelled as a continuous random variable </w:t>
      </w:r>
      <m:oMath>
        <m:sSub>
          <m:sSubPr>
            <m:ctrlPr>
              <w:rPr>
                <w:rFonts w:ascii="Cambria Math" w:hAnsi="Cambria Math"/>
              </w:rPr>
            </m:ctrlPr>
          </m:sSubPr>
          <m:e>
            <m:r>
              <m:rPr>
                <m:scr m:val="script"/>
                <m:sty m:val="p"/>
              </m:rPr>
              <w:rPr>
                <w:rFonts w:ascii="Cambria Math" w:hAnsi="Cambria Math"/>
              </w:rPr>
              <m:t>A</m:t>
            </m:r>
          </m:e>
          <m:sub>
            <m:r>
              <w:rPr>
                <w:rFonts w:ascii="Cambria Math" w:hAnsi="Cambria Math"/>
              </w:rPr>
              <m:t>i</m:t>
            </m:r>
          </m:sub>
        </m:sSub>
      </m:oMath>
      <w:r w:rsidRPr="008719C9">
        <w:t xml:space="preserve"> over the real line </w:t>
      </w:r>
      <m:oMath>
        <m:d>
          <m:dPr>
            <m:ctrlPr>
              <w:rPr>
                <w:rFonts w:ascii="Cambria Math" w:hAnsi="Cambria Math"/>
              </w:rPr>
            </m:ctrlPr>
          </m:dPr>
          <m:e>
            <m:r>
              <m:rPr>
                <m:sty m:val="p"/>
              </m:rPr>
              <w:rPr>
                <w:rFonts w:ascii="Cambria Math" w:hAnsi="Cambria Math"/>
              </w:rPr>
              <m:t>-∞,+∞</m:t>
            </m:r>
          </m:e>
        </m:d>
      </m:oMath>
      <w:r w:rsidRPr="008719C9">
        <w:t xml:space="preserve">. When two individuals </w:t>
      </w:r>
      <m:oMath>
        <m:r>
          <w:rPr>
            <w:rFonts w:ascii="Cambria Math" w:hAnsi="Cambria Math"/>
          </w:rPr>
          <m:t>i</m:t>
        </m:r>
      </m:oMath>
      <w:r w:rsidRPr="008719C9">
        <w:t xml:space="preserve"> and </w:t>
      </w:r>
      <m:oMath>
        <m:r>
          <w:rPr>
            <w:rFonts w:ascii="Cambria Math" w:hAnsi="Cambria Math"/>
          </w:rPr>
          <m:t>j</m:t>
        </m:r>
      </m:oMath>
      <w:r w:rsidRPr="008719C9">
        <w:t xml:space="preserve"> have an exchange, the observed values of </w:t>
      </w:r>
      <m:oMath>
        <m:sSub>
          <m:sSubPr>
            <m:ctrlPr>
              <w:rPr>
                <w:rFonts w:ascii="Cambria Math" w:hAnsi="Cambria Math"/>
              </w:rPr>
            </m:ctrlPr>
          </m:sSubPr>
          <m:e>
            <m:r>
              <m:rPr>
                <m:scr m:val="script"/>
                <m:sty m:val="p"/>
              </m:rPr>
              <w:rPr>
                <w:rFonts w:ascii="Cambria Math" w:hAnsi="Cambria Math"/>
              </w:rPr>
              <m:t>A</m:t>
            </m:r>
          </m:e>
          <m:sub>
            <m:r>
              <w:rPr>
                <w:rFonts w:ascii="Cambria Math" w:hAnsi="Cambria Math"/>
              </w:rPr>
              <m:t>i</m:t>
            </m:r>
          </m:sub>
        </m:sSub>
      </m:oMath>
      <w:r w:rsidRPr="008719C9">
        <w:t xml:space="preserve"> and </w:t>
      </w:r>
      <m:oMath>
        <m:sSub>
          <m:sSubPr>
            <m:ctrlPr>
              <w:rPr>
                <w:rFonts w:ascii="Cambria Math" w:hAnsi="Cambria Math"/>
              </w:rPr>
            </m:ctrlPr>
          </m:sSubPr>
          <m:e>
            <m:r>
              <m:rPr>
                <m:scr m:val="script"/>
                <m:sty m:val="p"/>
              </m:rPr>
              <w:rPr>
                <w:rFonts w:ascii="Cambria Math" w:hAnsi="Cambria Math"/>
              </w:rPr>
              <m:t>A</m:t>
            </m:r>
          </m:e>
          <m:sub>
            <m:r>
              <w:rPr>
                <w:rFonts w:ascii="Cambria Math" w:hAnsi="Cambria Math"/>
              </w:rPr>
              <m:t>j</m:t>
            </m:r>
          </m:sub>
        </m:sSub>
      </m:oMath>
      <w:r w:rsidRPr="008719C9">
        <w:t xml:space="preserve"> are compared, with the greatest value winning. Because argumentative capability is a continuous random variable, ties occur with probability 0. For simplicity, argumentative capability is assumed to be normally distributed, with members of type </w:t>
      </w:r>
      <m:oMath>
        <m:sSub>
          <m:sSubPr>
            <m:ctrlPr>
              <w:rPr>
                <w:rFonts w:ascii="Cambria Math" w:hAnsi="Cambria Math"/>
              </w:rPr>
            </m:ctrlPr>
          </m:sSubPr>
          <m:e>
            <m:r>
              <w:rPr>
                <w:rFonts w:ascii="Cambria Math" w:hAnsi="Cambria Math"/>
              </w:rPr>
              <m:t>T</m:t>
            </m:r>
          </m:e>
          <m:sub>
            <m:r>
              <w:rPr>
                <w:rFonts w:ascii="Cambria Math" w:hAnsi="Cambria Math"/>
              </w:rPr>
              <m:t>1</m:t>
            </m:r>
          </m:sub>
        </m:sSub>
      </m:oMath>
      <w:r w:rsidRPr="008719C9">
        <w:t xml:space="preserve"> having a </w:t>
      </w:r>
      <m:oMath>
        <m:r>
          <w:rPr>
            <w:rFonts w:ascii="Cambria Math" w:hAnsi="Cambria Math"/>
          </w:rPr>
          <m:t>N</m:t>
        </m:r>
        <m:d>
          <m:dPr>
            <m:ctrlPr>
              <w:rPr>
                <w:rFonts w:ascii="Cambria Math" w:hAnsi="Cambria Math"/>
              </w:rPr>
            </m:ctrlPr>
          </m:dPr>
          <m:e>
            <m:r>
              <w:rPr>
                <w:rFonts w:ascii="Cambria Math" w:hAnsi="Cambria Math"/>
              </w:rPr>
              <m:t>0</m:t>
            </m:r>
            <m:r>
              <m:rPr>
                <m:sty m:val="p"/>
              </m:rPr>
              <w:rPr>
                <w:rFonts w:ascii="Cambria Math" w:hAnsi="Cambria Math"/>
              </w:rPr>
              <m:t>,</m:t>
            </m:r>
            <m:r>
              <w:rPr>
                <w:rFonts w:ascii="Cambria Math" w:hAnsi="Cambria Math"/>
              </w:rPr>
              <m:t>1</m:t>
            </m:r>
          </m:e>
        </m:d>
      </m:oMath>
      <w:r w:rsidRPr="008719C9">
        <w:t xml:space="preserve"> distribution and members of type </w:t>
      </w:r>
      <m:oMath>
        <m:sSub>
          <m:sSubPr>
            <m:ctrlPr>
              <w:rPr>
                <w:rFonts w:ascii="Cambria Math" w:hAnsi="Cambria Math"/>
              </w:rPr>
            </m:ctrlPr>
          </m:sSubPr>
          <m:e>
            <m:r>
              <w:rPr>
                <w:rFonts w:ascii="Cambria Math" w:hAnsi="Cambria Math"/>
              </w:rPr>
              <m:t>T</m:t>
            </m:r>
          </m:e>
          <m:sub>
            <m:r>
              <w:rPr>
                <w:rFonts w:ascii="Cambria Math" w:hAnsi="Cambria Math"/>
              </w:rPr>
              <m:t>2</m:t>
            </m:r>
          </m:sub>
        </m:sSub>
      </m:oMath>
      <w:r w:rsidRPr="008719C9">
        <w:t xml:space="preserve"> having a </w:t>
      </w:r>
      <m:oMath>
        <m:r>
          <w:rPr>
            <w:rFonts w:ascii="Cambria Math" w:hAnsi="Cambria Math"/>
          </w:rPr>
          <m:t>N</m:t>
        </m:r>
        <m:d>
          <m:dPr>
            <m:ctrlPr>
              <w:rPr>
                <w:rFonts w:ascii="Cambria Math" w:hAnsi="Cambria Math"/>
              </w:rPr>
            </m:ctrlPr>
          </m:dPr>
          <m:e>
            <m:r>
              <w:rPr>
                <w:rFonts w:ascii="Cambria Math" w:hAnsi="Cambria Math"/>
              </w:rPr>
              <m:t>μ</m:t>
            </m:r>
            <m:r>
              <m:rPr>
                <m:sty m:val="p"/>
              </m:rPr>
              <w:rPr>
                <w:rFonts w:ascii="Cambria Math" w:hAnsi="Cambria Math"/>
              </w:rPr>
              <m:t>,</m:t>
            </m:r>
            <m:r>
              <w:rPr>
                <w:rFonts w:ascii="Cambria Math" w:hAnsi="Cambria Math"/>
              </w:rPr>
              <m:t>1</m:t>
            </m:r>
          </m:e>
        </m:d>
      </m:oMath>
      <w:r w:rsidRPr="008719C9">
        <w:t xml:space="preserve"> distribution, for some </w:t>
      </w:r>
      <m:oMath>
        <m:r>
          <w:rPr>
            <w:rFonts w:ascii="Cambria Math" w:hAnsi="Cambria Math"/>
          </w:rPr>
          <m:t>μ</m:t>
        </m:r>
        <m:r>
          <m:rPr>
            <m:sty m:val="p"/>
          </m:rPr>
          <w:rPr>
            <w:rFonts w:ascii="Cambria Math" w:hAnsi="Cambria Math"/>
          </w:rPr>
          <m:t>≥</m:t>
        </m:r>
        <m:r>
          <w:rPr>
            <w:rFonts w:ascii="Cambria Math" w:hAnsi="Cambria Math"/>
          </w:rPr>
          <m:t>0</m:t>
        </m:r>
      </m:oMath>
      <w:r w:rsidRPr="008719C9">
        <w:t>. Once a conversation</w:t>
      </w:r>
      <w:r w:rsidR="00FA28B9">
        <w:t>al</w:t>
      </w:r>
      <w:r w:rsidRPr="008719C9">
        <w:t xml:space="preserve"> exchange has take</w:t>
      </w:r>
      <w:r w:rsidR="00FA28B9">
        <w:t>n</w:t>
      </w:r>
      <w:r w:rsidRPr="008719C9">
        <w:t xml:space="preserve"> place and the winner has been determined, reinforcement learning occurs with all members of the board adding a ball of the appropriate colour to their urn. After reinforcement learning is complete, another pairwise conversational exchange takes place using a new pair selected at random, but with the possibility of selection bias.</w:t>
      </w:r>
    </w:p>
    <w:p w14:paraId="313D2C78" w14:textId="69EC54F8" w:rsidR="00D6644E" w:rsidRPr="008719C9" w:rsidRDefault="00B04FC3" w:rsidP="00D6644E">
      <w:pPr>
        <w:pStyle w:val="BodyText"/>
      </w:pPr>
      <w:r>
        <w:t>Anyone who has experienced a meeting knows that not all individuals participate equally in discussion.</w:t>
      </w:r>
      <w:r>
        <w:rPr>
          <w:spacing w:val="58"/>
          <w:w w:val="150"/>
        </w:rPr>
        <w:t xml:space="preserve"> </w:t>
      </w:r>
      <w:r>
        <w:t>This</w:t>
      </w:r>
      <w:r>
        <w:rPr>
          <w:spacing w:val="22"/>
        </w:rPr>
        <w:t xml:space="preserve"> </w:t>
      </w:r>
      <w:r>
        <w:t>can</w:t>
      </w:r>
      <w:r>
        <w:rPr>
          <w:spacing w:val="22"/>
        </w:rPr>
        <w:t xml:space="preserve"> </w:t>
      </w:r>
      <w:r>
        <w:t>happen</w:t>
      </w:r>
      <w:r>
        <w:rPr>
          <w:spacing w:val="22"/>
        </w:rPr>
        <w:t xml:space="preserve"> </w:t>
      </w:r>
      <w:r>
        <w:t>for</w:t>
      </w:r>
      <w:r>
        <w:rPr>
          <w:spacing w:val="23"/>
        </w:rPr>
        <w:t xml:space="preserve"> </w:t>
      </w:r>
      <w:r>
        <w:t>a</w:t>
      </w:r>
      <w:r>
        <w:rPr>
          <w:spacing w:val="22"/>
        </w:rPr>
        <w:t xml:space="preserve"> </w:t>
      </w:r>
      <w:r>
        <w:t>variety</w:t>
      </w:r>
      <w:r>
        <w:rPr>
          <w:spacing w:val="22"/>
        </w:rPr>
        <w:t xml:space="preserve"> </w:t>
      </w:r>
      <w:r>
        <w:t>of</w:t>
      </w:r>
      <w:r>
        <w:rPr>
          <w:spacing w:val="22"/>
        </w:rPr>
        <w:t xml:space="preserve"> </w:t>
      </w:r>
      <w:r>
        <w:t>reasons:</w:t>
      </w:r>
      <w:r>
        <w:rPr>
          <w:spacing w:val="62"/>
        </w:rPr>
        <w:t xml:space="preserve"> </w:t>
      </w:r>
      <w:r w:rsidR="00D6644E" w:rsidRPr="008719C9">
        <w:t xml:space="preserve">some </w:t>
      </w:r>
      <w:r w:rsidR="00554513">
        <w:t>people</w:t>
      </w:r>
      <w:r w:rsidR="00554513" w:rsidRPr="008719C9">
        <w:t xml:space="preserve"> </w:t>
      </w:r>
      <w:r w:rsidR="00554513">
        <w:t>may be</w:t>
      </w:r>
      <w:r w:rsidR="00554513" w:rsidRPr="008719C9">
        <w:t xml:space="preserve"> </w:t>
      </w:r>
      <w:r w:rsidR="00D6644E" w:rsidRPr="008719C9">
        <w:t xml:space="preserve">less eager to speak in public, some may be called upon more often by the </w:t>
      </w:r>
      <w:r w:rsidR="00EA2E33">
        <w:t>c</w:t>
      </w:r>
      <w:r w:rsidR="00D6644E" w:rsidRPr="008719C9">
        <w:t xml:space="preserve">hair, and </w:t>
      </w:r>
      <w:r w:rsidR="00554513">
        <w:t>others</w:t>
      </w:r>
      <w:r w:rsidR="00D6644E" w:rsidRPr="008719C9">
        <w:t xml:space="preserve"> </w:t>
      </w:r>
      <w:r w:rsidR="00554513">
        <w:t>may be</w:t>
      </w:r>
      <w:r w:rsidR="00554513" w:rsidRPr="008719C9">
        <w:t xml:space="preserve"> </w:t>
      </w:r>
      <w:r w:rsidR="00D6644E" w:rsidRPr="008719C9">
        <w:t>more willing to violate social norms regarding conversational turn-taking by interrupting</w:t>
      </w:r>
      <w:r w:rsidR="00554513">
        <w:t>.</w:t>
      </w:r>
      <w:r w:rsidR="00D6644E" w:rsidRPr="008719C9">
        <w:t xml:space="preserve"> We introduce a parameter </w:t>
      </w:r>
      <m:oMath>
        <m:sSub>
          <m:sSubPr>
            <m:ctrlPr>
              <w:rPr>
                <w:rFonts w:ascii="Cambria Math" w:hAnsi="Cambria Math"/>
              </w:rPr>
            </m:ctrlPr>
          </m:sSubPr>
          <m:e>
            <m:r>
              <w:rPr>
                <w:rFonts w:ascii="Cambria Math" w:hAnsi="Cambria Math"/>
              </w:rPr>
              <m:t>p</m:t>
            </m:r>
          </m:e>
          <m:sub>
            <m:r>
              <w:rPr>
                <w:rFonts w:ascii="Cambria Math" w:hAnsi="Cambria Math"/>
              </w:rPr>
              <m:t>v</m:t>
            </m:r>
          </m:sub>
        </m:sSub>
      </m:oMath>
      <w:r w:rsidR="00D6644E" w:rsidRPr="008719C9">
        <w:t xml:space="preserve"> which represents the probability that the next pairwise conversational exchange is determined by one of the </w:t>
      </w:r>
      <m:oMath>
        <m:sSub>
          <m:sSubPr>
            <m:ctrlPr>
              <w:rPr>
                <w:rFonts w:ascii="Cambria Math" w:hAnsi="Cambria Math"/>
              </w:rPr>
            </m:ctrlPr>
          </m:sSubPr>
          <m:e>
            <m:r>
              <w:rPr>
                <w:rFonts w:ascii="Cambria Math" w:hAnsi="Cambria Math"/>
              </w:rPr>
              <m:t>T</m:t>
            </m:r>
          </m:e>
          <m:sub>
            <m:r>
              <w:rPr>
                <w:rFonts w:ascii="Cambria Math" w:hAnsi="Cambria Math"/>
              </w:rPr>
              <m:t>2</m:t>
            </m:r>
          </m:sub>
        </m:sSub>
      </m:oMath>
      <w:r w:rsidR="00D6644E" w:rsidRPr="008719C9">
        <w:t xml:space="preserve">-members through a process of self-selection. When this happens, the next conversational exchange is </w:t>
      </w:r>
      <w:r w:rsidR="00D6644E" w:rsidRPr="008719C9">
        <w:rPr>
          <w:i/>
          <w:iCs/>
        </w:rPr>
        <w:t>not</w:t>
      </w:r>
      <w:r w:rsidR="00D6644E" w:rsidRPr="008719C9">
        <w:t xml:space="preserve"> selected from the full set of </w:t>
      </w:r>
      <m:oMath>
        <m:d>
          <m:dPr>
            <m:ctrlPr>
              <w:rPr>
                <w:rFonts w:ascii="Cambria Math" w:hAnsi="Cambria Math"/>
              </w:rPr>
            </m:ctrlPr>
          </m:dPr>
          <m:e>
            <m:f>
              <m:fPr>
                <m:type m:val="noBar"/>
                <m:ctrlPr>
                  <w:rPr>
                    <w:rFonts w:ascii="Cambria Math" w:hAnsi="Cambria Math"/>
                  </w:rPr>
                </m:ctrlPr>
              </m:fPr>
              <m:num>
                <m:r>
                  <w:rPr>
                    <w:rFonts w:ascii="Cambria Math" w:hAnsi="Cambria Math"/>
                  </w:rPr>
                  <m:t>N</m:t>
                </m:r>
              </m:num>
              <m:den>
                <m:r>
                  <w:rPr>
                    <w:rFonts w:ascii="Cambria Math" w:hAnsi="Cambria Math"/>
                  </w:rPr>
                  <m:t>2</m:t>
                </m:r>
              </m:den>
            </m:f>
          </m:e>
        </m:d>
      </m:oMath>
      <w:r w:rsidR="00D6644E" w:rsidRPr="008719C9">
        <w:t xml:space="preserve"> possible pairings available on the board; instead, the next pairwise conversational exchange is selected from the restricted set of pairings containing </w:t>
      </w:r>
      <w:r w:rsidR="00D6644E" w:rsidRPr="008719C9">
        <w:rPr>
          <w:i/>
          <w:iCs/>
        </w:rPr>
        <w:t>at least one</w:t>
      </w:r>
      <w:r w:rsidR="00D6644E" w:rsidRPr="008719C9">
        <w:t xml:space="preserve"> </w:t>
      </w:r>
      <m:oMath>
        <m:sSub>
          <m:sSubPr>
            <m:ctrlPr>
              <w:rPr>
                <w:rFonts w:ascii="Cambria Math" w:hAnsi="Cambria Math"/>
              </w:rPr>
            </m:ctrlPr>
          </m:sSubPr>
          <m:e>
            <m:r>
              <w:rPr>
                <w:rFonts w:ascii="Cambria Math" w:hAnsi="Cambria Math"/>
              </w:rPr>
              <m:t>T</m:t>
            </m:r>
          </m:e>
          <m:sub>
            <m:r>
              <w:rPr>
                <w:rFonts w:ascii="Cambria Math" w:hAnsi="Cambria Math"/>
              </w:rPr>
              <m:t>2</m:t>
            </m:r>
          </m:sub>
        </m:sSub>
      </m:oMath>
      <w:r w:rsidR="00D6644E" w:rsidRPr="008719C9">
        <w:t xml:space="preserve">-member. This can be seen as a form of self-promotion by a </w:t>
      </w:r>
      <m:oMath>
        <m:sSub>
          <m:sSubPr>
            <m:ctrlPr>
              <w:rPr>
                <w:rFonts w:ascii="Cambria Math" w:hAnsi="Cambria Math"/>
              </w:rPr>
            </m:ctrlPr>
          </m:sSubPr>
          <m:e>
            <m:r>
              <w:rPr>
                <w:rFonts w:ascii="Cambria Math" w:hAnsi="Cambria Math"/>
              </w:rPr>
              <m:t>T</m:t>
            </m:r>
          </m:e>
          <m:sub>
            <m:r>
              <w:rPr>
                <w:rFonts w:ascii="Cambria Math" w:hAnsi="Cambria Math"/>
              </w:rPr>
              <m:t>2</m:t>
            </m:r>
          </m:sub>
        </m:sSub>
      </m:oMath>
      <w:r w:rsidR="00D6644E" w:rsidRPr="008719C9">
        <w:t>-member, ensuring their subgroup’s views are heard more frequently than normal procedures would allow.</w:t>
      </w:r>
    </w:p>
    <w:p w14:paraId="12DFD7E1" w14:textId="466E554C" w:rsidR="008B7065" w:rsidRDefault="008B7065" w:rsidP="008B7065">
      <w:pPr>
        <w:pStyle w:val="BodyText"/>
      </w:pPr>
      <w:r w:rsidRPr="008719C9">
        <w:t>We developed a computer simulation to explore the influence of these respective parameters, looking at deliberative interactions between fourteen board members whose engagement is the result of assumptions made regarding an individual’s argumentative strength and probability of violating turn-taking. After initiali</w:t>
      </w:r>
      <w:r w:rsidR="00FA28B9">
        <w:t>z</w:t>
      </w:r>
      <w:r w:rsidRPr="008719C9">
        <w:t xml:space="preserve">ing the model by setting the board size and each member’s prior, </w:t>
      </w:r>
      <w:r w:rsidR="00F8646C">
        <w:t>1,000</w:t>
      </w:r>
      <w:r w:rsidRPr="008719C9">
        <w:t xml:space="preserve"> pairwise conversational exchanges, followed by reinforcement learning, were simulated.</w:t>
      </w:r>
      <w:r w:rsidR="00A1412E" w:rsidRPr="008719C9">
        <w:rPr>
          <w:rStyle w:val="EndnoteReference"/>
        </w:rPr>
        <w:endnoteReference w:id="4"/>
      </w:r>
      <w:r w:rsidR="00A1412E" w:rsidRPr="008719C9">
        <w:t xml:space="preserve"> </w:t>
      </w:r>
      <w:r w:rsidRPr="008719C9">
        <w:t>After all conversational exchanges took place, a board vote was simulated by having each member draw a ball from their respective urn. In the event of a tie occurring, the vote was retaken until one view (</w:t>
      </w:r>
      <w:r w:rsidRPr="008719C9">
        <w:rPr>
          <w:i/>
          <w:iCs/>
        </w:rPr>
        <w:t>Pro</w:t>
      </w:r>
      <w:r w:rsidRPr="008719C9">
        <w:t xml:space="preserve"> or </w:t>
      </w:r>
      <w:r w:rsidRPr="008719C9">
        <w:rPr>
          <w:i/>
          <w:iCs/>
        </w:rPr>
        <w:t>Con</w:t>
      </w:r>
      <w:r w:rsidRPr="008719C9">
        <w:t>) won. For each combination of parameter settings (</w:t>
      </w:r>
      <m:oMath>
        <m:sSub>
          <m:sSubPr>
            <m:ctrlPr>
              <w:rPr>
                <w:rFonts w:ascii="Cambria Math" w:hAnsi="Cambria Math"/>
              </w:rPr>
            </m:ctrlPr>
          </m:sSubPr>
          <m:e>
            <m:r>
              <w:rPr>
                <w:rFonts w:ascii="Cambria Math" w:hAnsi="Cambria Math"/>
              </w:rPr>
              <m:t>N</m:t>
            </m:r>
          </m:e>
          <m:sub>
            <m:r>
              <w:rPr>
                <w:rFonts w:ascii="Cambria Math" w:hAnsi="Cambria Math"/>
              </w:rPr>
              <m:t>1</m:t>
            </m:r>
          </m:sub>
        </m:sSub>
      </m:oMath>
      <w:r w:rsidRPr="008719C9">
        <w:t xml:space="preserve">, </w:t>
      </w:r>
      <m:oMath>
        <m:sSub>
          <m:sSubPr>
            <m:ctrlPr>
              <w:rPr>
                <w:rFonts w:ascii="Cambria Math" w:hAnsi="Cambria Math"/>
              </w:rPr>
            </m:ctrlPr>
          </m:sSubPr>
          <m:e>
            <m:r>
              <w:rPr>
                <w:rFonts w:ascii="Cambria Math" w:hAnsi="Cambria Math"/>
              </w:rPr>
              <m:t>N</m:t>
            </m:r>
          </m:e>
          <m:sub>
            <m:r>
              <w:rPr>
                <w:rFonts w:ascii="Cambria Math" w:hAnsi="Cambria Math"/>
              </w:rPr>
              <m:t>2</m:t>
            </m:r>
          </m:sub>
        </m:sSub>
      </m:oMath>
      <w:r w:rsidRPr="008719C9">
        <w:t xml:space="preserve">, </w:t>
      </w:r>
      <m:oMath>
        <m:r>
          <w:rPr>
            <w:rFonts w:ascii="Cambria Math" w:hAnsi="Cambria Math"/>
          </w:rPr>
          <m:t>μ</m:t>
        </m:r>
      </m:oMath>
      <w:r w:rsidRPr="008719C9">
        <w:t xml:space="preserve"> and </w:t>
      </w:r>
      <m:oMath>
        <m:sSub>
          <m:sSubPr>
            <m:ctrlPr>
              <w:rPr>
                <w:rFonts w:ascii="Cambria Math" w:hAnsi="Cambria Math"/>
              </w:rPr>
            </m:ctrlPr>
          </m:sSubPr>
          <m:e>
            <m:r>
              <w:rPr>
                <w:rFonts w:ascii="Cambria Math" w:hAnsi="Cambria Math"/>
              </w:rPr>
              <m:t>p</m:t>
            </m:r>
          </m:e>
          <m:sub>
            <m:r>
              <w:rPr>
                <w:rFonts w:ascii="Cambria Math" w:hAnsi="Cambria Math"/>
              </w:rPr>
              <m:t>v</m:t>
            </m:r>
          </m:sub>
        </m:sSub>
      </m:oMath>
      <w:r w:rsidRPr="008719C9">
        <w:t>), 5,000 simulations were run</w:t>
      </w:r>
      <w:r w:rsidR="00CE11E5">
        <w:t xml:space="preserve"> and the number of </w:t>
      </w:r>
      <w:r w:rsidR="00CE11E5">
        <w:rPr>
          <w:i/>
          <w:iCs/>
        </w:rPr>
        <w:t>Pro</w:t>
      </w:r>
      <w:r w:rsidR="00CE11E5">
        <w:t xml:space="preserve"> vote wins were tabulated</w:t>
      </w:r>
      <w:r w:rsidRPr="008719C9">
        <w:t xml:space="preserve">. The value of the </w:t>
      </w:r>
      <m:oMath>
        <m:r>
          <w:rPr>
            <w:rFonts w:ascii="Cambria Math" w:hAnsi="Cambria Math"/>
          </w:rPr>
          <m:t>μ</m:t>
        </m:r>
      </m:oMath>
      <w:r w:rsidRPr="008719C9">
        <w:t xml:space="preserve"> parameter varied from 0 to 1 in steps of 0.1, and the value of </w:t>
      </w:r>
      <m:oMath>
        <m:sSub>
          <m:sSubPr>
            <m:ctrlPr>
              <w:rPr>
                <w:rFonts w:ascii="Cambria Math" w:hAnsi="Cambria Math"/>
              </w:rPr>
            </m:ctrlPr>
          </m:sSubPr>
          <m:e>
            <m:r>
              <w:rPr>
                <w:rFonts w:ascii="Cambria Math" w:hAnsi="Cambria Math"/>
              </w:rPr>
              <m:t>p</m:t>
            </m:r>
          </m:e>
          <m:sub>
            <m:r>
              <w:rPr>
                <w:rFonts w:ascii="Cambria Math" w:hAnsi="Cambria Math"/>
              </w:rPr>
              <m:t>v</m:t>
            </m:r>
          </m:sub>
        </m:sSub>
      </m:oMath>
      <w:r w:rsidRPr="008719C9">
        <w:t xml:space="preserve"> varied from 0 to 0.5 in steps of 0.1, for a total number of 66 different </w:t>
      </w:r>
      <m:oMath>
        <m:d>
          <m:dPr>
            <m:ctrlPr>
              <w:rPr>
                <w:rFonts w:ascii="Cambria Math" w:hAnsi="Cambria Math"/>
              </w:rPr>
            </m:ctrlPr>
          </m:dPr>
          <m:e>
            <m:r>
              <w:rPr>
                <w:rFonts w:ascii="Cambria Math" w:hAnsi="Cambria Math"/>
              </w:rPr>
              <m:t>μ</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v</m:t>
                </m:r>
              </m:sub>
            </m:sSub>
          </m:e>
        </m:d>
      </m:oMath>
      <w:r w:rsidRPr="008719C9">
        <w:t xml:space="preserve"> combinations.</w:t>
      </w:r>
      <w:r w:rsidR="00567B00">
        <w:t xml:space="preserve"> (The reason </w:t>
      </w:r>
      <m:oMath>
        <m:sSub>
          <m:sSubPr>
            <m:ctrlPr>
              <w:rPr>
                <w:rFonts w:ascii="Cambria Math" w:hAnsi="Cambria Math"/>
              </w:rPr>
            </m:ctrlPr>
          </m:sSubPr>
          <m:e>
            <m:r>
              <w:rPr>
                <w:rFonts w:ascii="Cambria Math" w:hAnsi="Cambria Math"/>
              </w:rPr>
              <m:t>p</m:t>
            </m:r>
          </m:e>
          <m:sub>
            <m:r>
              <w:rPr>
                <w:rFonts w:ascii="Cambria Math" w:hAnsi="Cambria Math"/>
              </w:rPr>
              <m:t>v</m:t>
            </m:r>
          </m:sub>
        </m:sSub>
      </m:oMath>
      <w:r w:rsidR="00567B00">
        <w:t xml:space="preserve"> only ranges between 0 and 0.5 is that higher values would represent </w:t>
      </w:r>
      <w:r w:rsidR="0060042D">
        <w:t xml:space="preserve">a significant failure of the </w:t>
      </w:r>
      <w:r w:rsidR="00DE76A8">
        <w:t>c</w:t>
      </w:r>
      <w:r w:rsidR="0060042D">
        <w:t>hair to maintain order.)</w:t>
      </w:r>
      <w:r w:rsidRPr="008719C9">
        <w:t xml:space="preserve"> Table </w:t>
      </w:r>
      <w:r w:rsidR="00CB236C">
        <w:t>1</w:t>
      </w:r>
      <w:r w:rsidRPr="008719C9">
        <w:t xml:space="preserve"> illustrates the </w:t>
      </w:r>
      <w:r w:rsidR="007D1AA0">
        <w:t xml:space="preserve">summary </w:t>
      </w:r>
      <w:r w:rsidRPr="008719C9">
        <w:t>result</w:t>
      </w:r>
      <w:r w:rsidR="007D1AA0">
        <w:t>s</w:t>
      </w:r>
      <w:r w:rsidRPr="008719C9">
        <w:t xml:space="preserve"> for four different board compositions</w:t>
      </w:r>
      <w:r w:rsidR="007D1AA0">
        <w:t xml:space="preserve">, </w:t>
      </w:r>
      <w:r w:rsidR="0074667E">
        <w:t xml:space="preserve">a </w:t>
      </w:r>
      <w:r w:rsidR="007D1AA0">
        <w:t xml:space="preserve">total of </w:t>
      </w:r>
      <w:r w:rsidR="007D1AA0">
        <w:lastRenderedPageBreak/>
        <w:t>1,320,000,000</w:t>
      </w:r>
      <w:r w:rsidR="0074667E">
        <w:t xml:space="preserve"> simulated conversational exchanges</w:t>
      </w:r>
      <w:r w:rsidRPr="008719C9">
        <w:t>.</w:t>
      </w:r>
    </w:p>
    <w:p w14:paraId="306995E0" w14:textId="31A0055D" w:rsidR="008B7065" w:rsidRDefault="008B7065" w:rsidP="008B7065">
      <w:pPr>
        <w:pStyle w:val="BodyText"/>
      </w:pPr>
      <w:r w:rsidRPr="008719C9">
        <w:t xml:space="preserve">Simulation results show a joint interaction effect between the </w:t>
      </w:r>
      <m:oMath>
        <m:r>
          <w:rPr>
            <w:rFonts w:ascii="Cambria Math" w:hAnsi="Cambria Math"/>
          </w:rPr>
          <m:t>μ</m:t>
        </m:r>
      </m:oMath>
      <w:r w:rsidRPr="008719C9">
        <w:t xml:space="preserve"> and </w:t>
      </w:r>
      <m:oMath>
        <m:sSub>
          <m:sSubPr>
            <m:ctrlPr>
              <w:rPr>
                <w:rFonts w:ascii="Cambria Math" w:hAnsi="Cambria Math"/>
              </w:rPr>
            </m:ctrlPr>
          </m:sSubPr>
          <m:e>
            <m:r>
              <w:rPr>
                <w:rFonts w:ascii="Cambria Math" w:hAnsi="Cambria Math"/>
              </w:rPr>
              <m:t>p</m:t>
            </m:r>
          </m:e>
          <m:sub>
            <m:r>
              <w:rPr>
                <w:rFonts w:ascii="Cambria Math" w:hAnsi="Cambria Math"/>
              </w:rPr>
              <m:t>v</m:t>
            </m:r>
          </m:sub>
        </m:sSub>
      </m:oMath>
      <w:r w:rsidRPr="008719C9">
        <w:t xml:space="preserve"> parameters, enabling the smaller </w:t>
      </w:r>
      <m:oMath>
        <m:sSub>
          <m:sSubPr>
            <m:ctrlPr>
              <w:rPr>
                <w:rFonts w:ascii="Cambria Math" w:hAnsi="Cambria Math"/>
              </w:rPr>
            </m:ctrlPr>
          </m:sSubPr>
          <m:e>
            <m:r>
              <w:rPr>
                <w:rFonts w:ascii="Cambria Math" w:hAnsi="Cambria Math"/>
              </w:rPr>
              <m:t>T</m:t>
            </m:r>
          </m:e>
          <m:sub>
            <m:r>
              <w:rPr>
                <w:rFonts w:ascii="Cambria Math" w:hAnsi="Cambria Math"/>
              </w:rPr>
              <m:t>2</m:t>
            </m:r>
          </m:sub>
        </m:sSub>
      </m:oMath>
      <w:r w:rsidRPr="008719C9">
        <w:t>-subgroup to influence the outcome of the board vote far beyond what its size, measured in absolute numbers, would suggest.</w:t>
      </w:r>
      <w:r w:rsidR="002C5967">
        <w:t xml:space="preserve"> If a </w:t>
      </w:r>
      <w:r w:rsidR="00CE11E5">
        <w:t xml:space="preserve">simple majority </w:t>
      </w:r>
      <w:r w:rsidR="002C5967">
        <w:t xml:space="preserve">vote was taken at the outset, when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=2</m:t>
        </m:r>
      </m:oMath>
      <w:r w:rsidR="002C5967">
        <w:t xml:space="preserve">, the </w:t>
      </w:r>
      <w:r w:rsidR="002C5967">
        <w:rPr>
          <w:i/>
          <w:iCs/>
        </w:rPr>
        <w:t>Pro</w:t>
      </w:r>
      <w:r w:rsidR="002C5967">
        <w:t xml:space="preserve"> position would win just 0.04% of the time. Yet w</w:t>
      </w:r>
      <w:r w:rsidRPr="008719C9">
        <w:t xml:space="preserve">hen </w:t>
      </w:r>
      <m:oMath>
        <m:sSub>
          <m:sSubPr>
            <m:ctrlPr>
              <w:rPr>
                <w:rFonts w:ascii="Cambria Math" w:hAnsi="Cambria Math"/>
              </w:rPr>
            </m:ctrlPr>
          </m:sSubPr>
          <m:e>
            <m:r>
              <w:rPr>
                <w:rFonts w:ascii="Cambria Math" w:hAnsi="Cambria Math"/>
              </w:rPr>
              <m:t>N</m:t>
            </m:r>
          </m:e>
          <m:sub>
            <m:r>
              <w:rPr>
                <w:rFonts w:ascii="Cambria Math" w:hAnsi="Cambria Math"/>
              </w:rPr>
              <m:t>2</m:t>
            </m:r>
          </m:sub>
        </m:sSub>
        <m:r>
          <m:rPr>
            <m:sty m:val="p"/>
          </m:rPr>
          <w:rPr>
            <w:rFonts w:ascii="Cambria Math" w:hAnsi="Cambria Math"/>
          </w:rPr>
          <m:t>=</m:t>
        </m:r>
        <m:r>
          <w:rPr>
            <w:rFonts w:ascii="Cambria Math" w:hAnsi="Cambria Math"/>
          </w:rPr>
          <m:t>2</m:t>
        </m:r>
      </m:oMath>
      <w:r w:rsidRPr="008719C9">
        <w:t>, the smaller subgroup is able to influence the board vote</w:t>
      </w:r>
      <w:r w:rsidR="002C5967">
        <w:t xml:space="preserve"> 38</w:t>
      </w:r>
      <w:r w:rsidRPr="008719C9">
        <w:t xml:space="preserve">% of the time under the most extreme combination of parameters favouring its potential to dominate (i.e., when </w:t>
      </w:r>
      <m:oMath>
        <m:r>
          <w:rPr>
            <w:rFonts w:ascii="Cambria Math" w:hAnsi="Cambria Math"/>
          </w:rPr>
          <m:t>μ</m:t>
        </m:r>
        <m:r>
          <m:rPr>
            <m:sty m:val="p"/>
          </m:rPr>
          <w:rPr>
            <w:rFonts w:ascii="Cambria Math" w:hAnsi="Cambria Math"/>
          </w:rPr>
          <m:t>=</m:t>
        </m:r>
        <m:r>
          <w:rPr>
            <w:rFonts w:ascii="Cambria Math" w:hAnsi="Cambria Math"/>
          </w:rPr>
          <m:t>1</m:t>
        </m:r>
      </m:oMath>
      <w:r w:rsidRPr="008719C9">
        <w:t xml:space="preserve"> and </w:t>
      </w:r>
      <m:oMath>
        <m:sSub>
          <m:sSubPr>
            <m:ctrlPr>
              <w:rPr>
                <w:rFonts w:ascii="Cambria Math" w:hAnsi="Cambria Math"/>
              </w:rPr>
            </m:ctrlPr>
          </m:sSubPr>
          <m:e>
            <m:r>
              <w:rPr>
                <w:rFonts w:ascii="Cambria Math" w:hAnsi="Cambria Math"/>
              </w:rPr>
              <m:t>p</m:t>
            </m:r>
          </m:e>
          <m:sub>
            <m:r>
              <w:rPr>
                <w:rFonts w:ascii="Cambria Math" w:hAnsi="Cambria Math"/>
              </w:rPr>
              <m:t>v</m:t>
            </m:r>
          </m:sub>
        </m:sSub>
        <m:r>
          <m:rPr>
            <m:sty m:val="p"/>
          </m:rPr>
          <w:rPr>
            <w:rFonts w:ascii="Cambria Math" w:hAnsi="Cambria Math"/>
          </w:rPr>
          <m:t>=</m:t>
        </m:r>
        <m:r>
          <w:rPr>
            <w:rFonts w:ascii="Cambria Math" w:hAnsi="Cambria Math"/>
          </w:rPr>
          <m:t>0.5</m:t>
        </m:r>
      </m:oMath>
      <w:r w:rsidRPr="008719C9">
        <w:t xml:space="preserve">). When the two parameter values are slightly lower, with </w:t>
      </w:r>
      <m:oMath>
        <m:r>
          <w:rPr>
            <w:rFonts w:ascii="Cambria Math" w:hAnsi="Cambria Math"/>
          </w:rPr>
          <m:t>μ</m:t>
        </m:r>
        <m:r>
          <m:rPr>
            <m:sty m:val="p"/>
          </m:rPr>
          <w:rPr>
            <w:rFonts w:ascii="Cambria Math" w:hAnsi="Cambria Math"/>
          </w:rPr>
          <m:t>=</m:t>
        </m:r>
        <m:r>
          <w:rPr>
            <w:rFonts w:ascii="Cambria Math" w:hAnsi="Cambria Math"/>
          </w:rPr>
          <m:t>0.5</m:t>
        </m:r>
      </m:oMath>
      <w:r w:rsidRPr="008719C9">
        <w:t xml:space="preserve"> and </w:t>
      </w:r>
      <m:oMath>
        <m:sSub>
          <m:sSubPr>
            <m:ctrlPr>
              <w:rPr>
                <w:rFonts w:ascii="Cambria Math" w:hAnsi="Cambria Math"/>
              </w:rPr>
            </m:ctrlPr>
          </m:sSubPr>
          <m:e>
            <m:r>
              <w:rPr>
                <w:rFonts w:ascii="Cambria Math" w:hAnsi="Cambria Math"/>
              </w:rPr>
              <m:t>p</m:t>
            </m:r>
          </m:e>
          <m:sub>
            <m:r>
              <w:rPr>
                <w:rFonts w:ascii="Cambria Math" w:hAnsi="Cambria Math"/>
              </w:rPr>
              <m:t>v</m:t>
            </m:r>
          </m:sub>
        </m:sSub>
        <m:r>
          <m:rPr>
            <m:sty m:val="p"/>
          </m:rPr>
          <w:rPr>
            <w:rFonts w:ascii="Cambria Math" w:hAnsi="Cambria Math"/>
          </w:rPr>
          <m:t>=</m:t>
        </m:r>
        <m:r>
          <w:rPr>
            <w:rFonts w:ascii="Cambria Math" w:hAnsi="Cambria Math"/>
          </w:rPr>
          <m:t>0.3</m:t>
        </m:r>
      </m:oMath>
      <w:r w:rsidRPr="008719C9">
        <w:t xml:space="preserve">, the influential ability of the smaller subgroup drops to less than 10%. However, in addition to the joint interaction between the </w:t>
      </w:r>
      <m:oMath>
        <m:r>
          <w:rPr>
            <w:rFonts w:ascii="Cambria Math" w:hAnsi="Cambria Math"/>
          </w:rPr>
          <m:t>μ</m:t>
        </m:r>
      </m:oMath>
      <w:r w:rsidRPr="008719C9">
        <w:t xml:space="preserve"> and </w:t>
      </w:r>
      <m:oMath>
        <m:sSub>
          <m:sSubPr>
            <m:ctrlPr>
              <w:rPr>
                <w:rFonts w:ascii="Cambria Math" w:hAnsi="Cambria Math"/>
              </w:rPr>
            </m:ctrlPr>
          </m:sSubPr>
          <m:e>
            <m:r>
              <w:rPr>
                <w:rFonts w:ascii="Cambria Math" w:hAnsi="Cambria Math"/>
              </w:rPr>
              <m:t>p</m:t>
            </m:r>
          </m:e>
          <m:sub>
            <m:r>
              <w:rPr>
                <w:rFonts w:ascii="Cambria Math" w:hAnsi="Cambria Math"/>
              </w:rPr>
              <m:t>v</m:t>
            </m:r>
          </m:sub>
        </m:sSub>
      </m:oMath>
      <w:r w:rsidRPr="008719C9">
        <w:t xml:space="preserve"> parameters, the </w:t>
      </w:r>
      <w:r w:rsidRPr="008719C9">
        <w:rPr>
          <w:i/>
          <w:iCs/>
        </w:rPr>
        <w:t>size</w:t>
      </w:r>
      <w:r w:rsidRPr="008719C9">
        <w:t xml:space="preserve"> of the smaller subgroup is also seen to be crucially significant. Indeed, a “tipping point” regarding the influential power of the smaller subgroup is found to occur when </w:t>
      </w:r>
      <m:oMath>
        <m:sSub>
          <m:sSubPr>
            <m:ctrlPr>
              <w:rPr>
                <w:rFonts w:ascii="Cambria Math" w:hAnsi="Cambria Math"/>
              </w:rPr>
            </m:ctrlPr>
          </m:sSubPr>
          <m:e>
            <m:r>
              <w:rPr>
                <w:rFonts w:ascii="Cambria Math" w:hAnsi="Cambria Math"/>
              </w:rPr>
              <m:t>N</m:t>
            </m:r>
          </m:e>
          <m:sub>
            <m:r>
              <w:rPr>
                <w:rFonts w:ascii="Cambria Math" w:hAnsi="Cambria Math"/>
              </w:rPr>
              <m:t>2</m:t>
            </m:r>
          </m:sub>
        </m:sSub>
      </m:oMath>
      <w:r w:rsidRPr="008719C9">
        <w:t xml:space="preserve"> increases from 3 to 4, as visual inspection of</w:t>
      </w:r>
      <w:r w:rsidR="00CB236C">
        <w:t xml:space="preserve"> Table 1(b) and</w:t>
      </w:r>
      <w:r w:rsidRPr="008719C9">
        <w:t xml:space="preserve"> </w:t>
      </w:r>
      <w:r w:rsidR="00CB236C">
        <w:t>Table 1(c)</w:t>
      </w:r>
      <w:r w:rsidRPr="008719C9">
        <w:t xml:space="preserve"> show. Relatively small differences in argumentative capability, combined with a willingness to violate social norms of group deliberation, can result in the viewpoint of a smaller subgroup dominating the overall group decision.</w:t>
      </w:r>
    </w:p>
    <w:p w14:paraId="5DA7829F" w14:textId="77777777" w:rsidR="00E954B1" w:rsidRDefault="00E954B1" w:rsidP="00E954B1">
      <w:pPr>
        <w:pStyle w:val="BodyText"/>
      </w:pPr>
    </w:p>
    <w:p w14:paraId="7E4AFC34" w14:textId="77777777" w:rsidR="00E954B1" w:rsidRDefault="00E954B1" w:rsidP="00E954B1">
      <w:pPr>
        <w:pStyle w:val="BodyText"/>
        <w:ind w:firstLine="0"/>
        <w:jc w:val="center"/>
      </w:pPr>
      <w:r>
        <w:t>-----------------------</w:t>
      </w:r>
    </w:p>
    <w:p w14:paraId="1DBA4D0E" w14:textId="77777777" w:rsidR="00E954B1" w:rsidRDefault="00E954B1" w:rsidP="00E954B1">
      <w:pPr>
        <w:pStyle w:val="BodyText"/>
        <w:ind w:firstLine="0"/>
        <w:jc w:val="center"/>
      </w:pPr>
      <w:r>
        <w:t>Table 1 about here</w:t>
      </w:r>
    </w:p>
    <w:p w14:paraId="0F2AD6CC" w14:textId="77777777" w:rsidR="00E954B1" w:rsidRDefault="00E954B1" w:rsidP="00E954B1">
      <w:pPr>
        <w:pStyle w:val="BodyText"/>
        <w:ind w:firstLine="0"/>
        <w:jc w:val="center"/>
      </w:pPr>
      <w:r>
        <w:t>-----------------------</w:t>
      </w:r>
    </w:p>
    <w:p w14:paraId="1BF81DCB" w14:textId="77777777" w:rsidR="00D66AD3" w:rsidRDefault="00D66AD3" w:rsidP="00302C43">
      <w:pPr>
        <w:pStyle w:val="BodyText"/>
        <w:ind w:firstLine="0"/>
      </w:pPr>
    </w:p>
    <w:p w14:paraId="189BA620" w14:textId="77777777" w:rsidR="00FF59F3" w:rsidRDefault="00B04FC3" w:rsidP="00AA2CFF">
      <w:pPr>
        <w:pStyle w:val="Heading1"/>
      </w:pPr>
      <w:r w:rsidRPr="00811090">
        <w:t>E</w:t>
      </w:r>
      <w:r w:rsidR="00811090">
        <w:t>MPIRICAL EVIDENCE FROM THE IASB VALIDATING THE MODEL ASSUMPTIONS</w:t>
      </w:r>
    </w:p>
    <w:p w14:paraId="2640E800" w14:textId="77777777" w:rsidR="00FF59F3" w:rsidRDefault="00FF59F3" w:rsidP="00FF59F3">
      <w:pPr>
        <w:pStyle w:val="BodyText"/>
        <w:jc w:val="center"/>
        <w:rPr>
          <w:b/>
          <w:bCs/>
        </w:rPr>
      </w:pPr>
    </w:p>
    <w:p w14:paraId="231121B1" w14:textId="11CB2F29" w:rsidR="00D66AD3" w:rsidRDefault="00B04FC3" w:rsidP="00FF59F3">
      <w:pPr>
        <w:pStyle w:val="BodyText"/>
      </w:pPr>
      <w:r>
        <w:t>In</w:t>
      </w:r>
      <w:r>
        <w:rPr>
          <w:spacing w:val="-14"/>
        </w:rPr>
        <w:t xml:space="preserve"> </w:t>
      </w:r>
      <w:r>
        <w:t>order</w:t>
      </w:r>
      <w:r>
        <w:rPr>
          <w:spacing w:val="-14"/>
        </w:rPr>
        <w:t xml:space="preserve"> </w:t>
      </w:r>
      <w:r>
        <w:t>to</w:t>
      </w:r>
      <w:r>
        <w:rPr>
          <w:spacing w:val="-14"/>
        </w:rPr>
        <w:t xml:space="preserve"> </w:t>
      </w:r>
      <w:r>
        <w:t>demonstrate</w:t>
      </w:r>
      <w:r>
        <w:rPr>
          <w:spacing w:val="-14"/>
        </w:rPr>
        <w:t xml:space="preserve"> </w:t>
      </w:r>
      <w:r>
        <w:t>the</w:t>
      </w:r>
      <w:r>
        <w:rPr>
          <w:spacing w:val="-14"/>
        </w:rPr>
        <w:t xml:space="preserve"> </w:t>
      </w:r>
      <w:r>
        <w:t>validity</w:t>
      </w:r>
      <w:r>
        <w:rPr>
          <w:spacing w:val="-14"/>
        </w:rPr>
        <w:t xml:space="preserve"> </w:t>
      </w:r>
      <w:r>
        <w:t>of</w:t>
      </w:r>
      <w:r>
        <w:rPr>
          <w:spacing w:val="-14"/>
        </w:rPr>
        <w:t xml:space="preserve"> </w:t>
      </w:r>
      <w:r>
        <w:t>the</w:t>
      </w:r>
      <w:r>
        <w:rPr>
          <w:spacing w:val="-14"/>
        </w:rPr>
        <w:t xml:space="preserve"> </w:t>
      </w:r>
      <w:r>
        <w:t>assumptions</w:t>
      </w:r>
      <w:r>
        <w:rPr>
          <w:spacing w:val="-14"/>
        </w:rPr>
        <w:t xml:space="preserve"> </w:t>
      </w:r>
      <w:r>
        <w:t>made</w:t>
      </w:r>
      <w:r>
        <w:rPr>
          <w:spacing w:val="-14"/>
        </w:rPr>
        <w:t xml:space="preserve"> </w:t>
      </w:r>
      <w:r>
        <w:t>in</w:t>
      </w:r>
      <w:r>
        <w:rPr>
          <w:spacing w:val="-14"/>
        </w:rPr>
        <w:t xml:space="preserve"> </w:t>
      </w:r>
      <w:r>
        <w:t>the</w:t>
      </w:r>
      <w:r>
        <w:rPr>
          <w:spacing w:val="-14"/>
        </w:rPr>
        <w:t xml:space="preserve"> </w:t>
      </w:r>
      <w:r>
        <w:t>agent-based</w:t>
      </w:r>
      <w:r>
        <w:rPr>
          <w:spacing w:val="-14"/>
        </w:rPr>
        <w:t xml:space="preserve"> </w:t>
      </w:r>
      <w:r>
        <w:t>model,</w:t>
      </w:r>
      <w:r>
        <w:rPr>
          <w:spacing w:val="-13"/>
        </w:rPr>
        <w:t xml:space="preserve"> </w:t>
      </w:r>
      <w:r>
        <w:t>evidence</w:t>
      </w:r>
      <w:r>
        <w:rPr>
          <w:spacing w:val="-14"/>
        </w:rPr>
        <w:t xml:space="preserve"> </w:t>
      </w:r>
      <w:r>
        <w:t>of the</w:t>
      </w:r>
      <w:r>
        <w:rPr>
          <w:spacing w:val="-1"/>
        </w:rPr>
        <w:t xml:space="preserve"> </w:t>
      </w:r>
      <w:r>
        <w:t>influence of</w:t>
      </w:r>
      <w:r>
        <w:rPr>
          <w:spacing w:val="-1"/>
        </w:rPr>
        <w:t xml:space="preserve"> </w:t>
      </w:r>
      <w:r>
        <w:t>a subgroup on</w:t>
      </w:r>
      <w:r>
        <w:rPr>
          <w:spacing w:val="-1"/>
        </w:rPr>
        <w:t xml:space="preserve"> </w:t>
      </w:r>
      <w:r>
        <w:t>board dynamics is</w:t>
      </w:r>
      <w:r>
        <w:rPr>
          <w:spacing w:val="-1"/>
        </w:rPr>
        <w:t xml:space="preserve"> </w:t>
      </w:r>
      <w:r>
        <w:t>presented for the</w:t>
      </w:r>
      <w:r>
        <w:rPr>
          <w:spacing w:val="-1"/>
        </w:rPr>
        <w:t xml:space="preserve"> </w:t>
      </w:r>
      <w:r>
        <w:t>international accounting</w:t>
      </w:r>
      <w:r>
        <w:rPr>
          <w:spacing w:val="-1"/>
        </w:rPr>
        <w:t xml:space="preserve"> </w:t>
      </w:r>
      <w:r w:rsidRPr="00811090">
        <w:t>standard</w:t>
      </w:r>
      <w:r>
        <w:rPr>
          <w:spacing w:val="-1"/>
        </w:rPr>
        <w:t xml:space="preserve"> </w:t>
      </w:r>
      <w:r>
        <w:t>setting</w:t>
      </w:r>
      <w:r>
        <w:rPr>
          <w:spacing w:val="-1"/>
        </w:rPr>
        <w:t xml:space="preserve"> </w:t>
      </w:r>
      <w:r>
        <w:t>organization, the</w:t>
      </w:r>
      <w:r>
        <w:rPr>
          <w:spacing w:val="-1"/>
        </w:rPr>
        <w:t xml:space="preserve"> </w:t>
      </w:r>
      <w:r>
        <w:t>IASB.</w:t>
      </w:r>
      <w:r>
        <w:rPr>
          <w:spacing w:val="-1"/>
        </w:rPr>
        <w:t xml:space="preserve"> </w:t>
      </w:r>
      <w:r w:rsidR="005B7B29">
        <w:t xml:space="preserve">The IASB has strict procedures in place regarding decision-making and has focused on issues of board composition, in particular ensuring representation of members from around the world. </w:t>
      </w:r>
      <w:r>
        <w:t>The</w:t>
      </w:r>
      <w:r>
        <w:rPr>
          <w:spacing w:val="-1"/>
        </w:rPr>
        <w:t xml:space="preserve"> </w:t>
      </w:r>
      <w:r>
        <w:t>IASB</w:t>
      </w:r>
      <w:r>
        <w:rPr>
          <w:spacing w:val="-1"/>
        </w:rPr>
        <w:t xml:space="preserve"> </w:t>
      </w:r>
      <w:r>
        <w:t>offers</w:t>
      </w:r>
      <w:r>
        <w:rPr>
          <w:spacing w:val="-1"/>
        </w:rPr>
        <w:t xml:space="preserve"> </w:t>
      </w:r>
      <w:r>
        <w:t>a</w:t>
      </w:r>
      <w:r>
        <w:rPr>
          <w:spacing w:val="-1"/>
        </w:rPr>
        <w:t xml:space="preserve"> </w:t>
      </w:r>
      <w:r>
        <w:t>useful</w:t>
      </w:r>
      <w:r>
        <w:rPr>
          <w:spacing w:val="-1"/>
        </w:rPr>
        <w:t xml:space="preserve"> </w:t>
      </w:r>
      <w:r>
        <w:t>case</w:t>
      </w:r>
      <w:r>
        <w:rPr>
          <w:spacing w:val="-1"/>
        </w:rPr>
        <w:t xml:space="preserve"> </w:t>
      </w:r>
      <w:r>
        <w:t>for</w:t>
      </w:r>
      <w:r>
        <w:rPr>
          <w:spacing w:val="-1"/>
        </w:rPr>
        <w:t xml:space="preserve"> </w:t>
      </w:r>
      <w:r>
        <w:t>analy</w:t>
      </w:r>
      <w:r w:rsidR="00FA28B9">
        <w:t>z</w:t>
      </w:r>
      <w:r>
        <w:t>ing</w:t>
      </w:r>
      <w:r>
        <w:rPr>
          <w:spacing w:val="-1"/>
        </w:rPr>
        <w:t xml:space="preserve"> </w:t>
      </w:r>
      <w:r>
        <w:t>the</w:t>
      </w:r>
      <w:r>
        <w:rPr>
          <w:spacing w:val="-1"/>
        </w:rPr>
        <w:t xml:space="preserve"> </w:t>
      </w:r>
      <w:r>
        <w:t>dynamics</w:t>
      </w:r>
      <w:r>
        <w:rPr>
          <w:spacing w:val="-1"/>
        </w:rPr>
        <w:t xml:space="preserve"> </w:t>
      </w:r>
      <w:r>
        <w:t>of deliberation</w:t>
      </w:r>
      <w:r>
        <w:rPr>
          <w:spacing w:val="-7"/>
        </w:rPr>
        <w:t xml:space="preserve"> </w:t>
      </w:r>
      <w:r>
        <w:t>on</w:t>
      </w:r>
      <w:r>
        <w:rPr>
          <w:spacing w:val="-6"/>
        </w:rPr>
        <w:t xml:space="preserve"> </w:t>
      </w:r>
      <w:r>
        <w:t>a</w:t>
      </w:r>
      <w:r>
        <w:rPr>
          <w:spacing w:val="-7"/>
        </w:rPr>
        <w:t xml:space="preserve"> </w:t>
      </w:r>
      <w:r>
        <w:t>board</w:t>
      </w:r>
      <w:r>
        <w:rPr>
          <w:spacing w:val="-7"/>
        </w:rPr>
        <w:t xml:space="preserve"> </w:t>
      </w:r>
      <w:r>
        <w:t>for</w:t>
      </w:r>
      <w:r>
        <w:rPr>
          <w:spacing w:val="-7"/>
        </w:rPr>
        <w:t xml:space="preserve"> </w:t>
      </w:r>
      <w:r>
        <w:t>two</w:t>
      </w:r>
      <w:r>
        <w:rPr>
          <w:spacing w:val="-6"/>
        </w:rPr>
        <w:t xml:space="preserve"> </w:t>
      </w:r>
      <w:r>
        <w:t>reasons. First,</w:t>
      </w:r>
      <w:r>
        <w:rPr>
          <w:spacing w:val="-6"/>
        </w:rPr>
        <w:t xml:space="preserve"> </w:t>
      </w:r>
      <w:r>
        <w:t>its</w:t>
      </w:r>
      <w:r>
        <w:rPr>
          <w:spacing w:val="-7"/>
        </w:rPr>
        <w:t xml:space="preserve"> </w:t>
      </w:r>
      <w:r>
        <w:t>board</w:t>
      </w:r>
      <w:r>
        <w:rPr>
          <w:spacing w:val="-6"/>
        </w:rPr>
        <w:t xml:space="preserve"> </w:t>
      </w:r>
      <w:r>
        <w:t>meetings</w:t>
      </w:r>
      <w:r>
        <w:rPr>
          <w:spacing w:val="-6"/>
        </w:rPr>
        <w:t xml:space="preserve"> </w:t>
      </w:r>
      <w:r>
        <w:t>are</w:t>
      </w:r>
      <w:r>
        <w:rPr>
          <w:spacing w:val="-7"/>
        </w:rPr>
        <w:t xml:space="preserve"> </w:t>
      </w:r>
      <w:r>
        <w:t>recorded</w:t>
      </w:r>
      <w:r>
        <w:rPr>
          <w:spacing w:val="-7"/>
        </w:rPr>
        <w:t xml:space="preserve"> </w:t>
      </w:r>
      <w:r>
        <w:t>which</w:t>
      </w:r>
      <w:r>
        <w:rPr>
          <w:spacing w:val="-6"/>
        </w:rPr>
        <w:t xml:space="preserve"> </w:t>
      </w:r>
      <w:r>
        <w:t>enables</w:t>
      </w:r>
      <w:r>
        <w:rPr>
          <w:spacing w:val="-7"/>
        </w:rPr>
        <w:t xml:space="preserve"> </w:t>
      </w:r>
      <w:r>
        <w:t>a</w:t>
      </w:r>
      <w:r>
        <w:rPr>
          <w:spacing w:val="-7"/>
        </w:rPr>
        <w:t xml:space="preserve"> </w:t>
      </w:r>
      <w:r>
        <w:t>detailed</w:t>
      </w:r>
      <w:r>
        <w:rPr>
          <w:spacing w:val="-7"/>
        </w:rPr>
        <w:t xml:space="preserve"> </w:t>
      </w:r>
      <w:r>
        <w:t>analysis</w:t>
      </w:r>
      <w:r>
        <w:rPr>
          <w:spacing w:val="-7"/>
        </w:rPr>
        <w:t xml:space="preserve"> </w:t>
      </w:r>
      <w:r>
        <w:t>of</w:t>
      </w:r>
      <w:r>
        <w:rPr>
          <w:spacing w:val="-7"/>
        </w:rPr>
        <w:t xml:space="preserve"> </w:t>
      </w:r>
      <w:r>
        <w:t>contributions</w:t>
      </w:r>
      <w:r>
        <w:rPr>
          <w:spacing w:val="-7"/>
        </w:rPr>
        <w:t xml:space="preserve"> </w:t>
      </w:r>
      <w:r>
        <w:t>by</w:t>
      </w:r>
      <w:r>
        <w:rPr>
          <w:spacing w:val="-7"/>
        </w:rPr>
        <w:t xml:space="preserve"> </w:t>
      </w:r>
      <w:r>
        <w:t>board</w:t>
      </w:r>
      <w:r>
        <w:rPr>
          <w:spacing w:val="-7"/>
        </w:rPr>
        <w:t xml:space="preserve"> </w:t>
      </w:r>
      <w:r>
        <w:t>members</w:t>
      </w:r>
      <w:r>
        <w:rPr>
          <w:spacing w:val="-7"/>
        </w:rPr>
        <w:t xml:space="preserve"> </w:t>
      </w:r>
      <w:r>
        <w:t>to</w:t>
      </w:r>
      <w:r>
        <w:rPr>
          <w:spacing w:val="-7"/>
        </w:rPr>
        <w:t xml:space="preserve"> </w:t>
      </w:r>
      <w:r>
        <w:t>the</w:t>
      </w:r>
      <w:r>
        <w:rPr>
          <w:spacing w:val="-7"/>
        </w:rPr>
        <w:t xml:space="preserve"> </w:t>
      </w:r>
      <w:r>
        <w:t>discussion,</w:t>
      </w:r>
      <w:r>
        <w:rPr>
          <w:spacing w:val="-7"/>
        </w:rPr>
        <w:t xml:space="preserve"> </w:t>
      </w:r>
      <w:r>
        <w:t>and</w:t>
      </w:r>
      <w:r>
        <w:rPr>
          <w:spacing w:val="-7"/>
        </w:rPr>
        <w:t xml:space="preserve"> </w:t>
      </w:r>
      <w:r>
        <w:t>second,</w:t>
      </w:r>
      <w:r>
        <w:rPr>
          <w:spacing w:val="-7"/>
        </w:rPr>
        <w:t xml:space="preserve"> </w:t>
      </w:r>
      <w:r>
        <w:t>academic</w:t>
      </w:r>
      <w:r>
        <w:rPr>
          <w:spacing w:val="-7"/>
        </w:rPr>
        <w:t xml:space="preserve"> </w:t>
      </w:r>
      <w:r>
        <w:t>studies have identified the existence of a five-person subgroup on the board of the IASB, whose members</w:t>
      </w:r>
      <w:r>
        <w:rPr>
          <w:spacing w:val="-6"/>
        </w:rPr>
        <w:t xml:space="preserve"> </w:t>
      </w:r>
      <w:r>
        <w:t>were</w:t>
      </w:r>
      <w:r>
        <w:rPr>
          <w:spacing w:val="-6"/>
        </w:rPr>
        <w:t xml:space="preserve"> </w:t>
      </w:r>
      <w:r>
        <w:t>vocal</w:t>
      </w:r>
      <w:r>
        <w:rPr>
          <w:spacing w:val="-6"/>
        </w:rPr>
        <w:t xml:space="preserve"> </w:t>
      </w:r>
      <w:r>
        <w:t>in</w:t>
      </w:r>
      <w:r>
        <w:rPr>
          <w:spacing w:val="-6"/>
        </w:rPr>
        <w:t xml:space="preserve"> </w:t>
      </w:r>
      <w:r>
        <w:t>advocating</w:t>
      </w:r>
      <w:r>
        <w:rPr>
          <w:spacing w:val="-6"/>
        </w:rPr>
        <w:t xml:space="preserve"> </w:t>
      </w:r>
      <w:r>
        <w:t>a</w:t>
      </w:r>
      <w:r>
        <w:rPr>
          <w:spacing w:val="-6"/>
        </w:rPr>
        <w:t xml:space="preserve"> </w:t>
      </w:r>
      <w:r>
        <w:t>particular</w:t>
      </w:r>
      <w:r>
        <w:rPr>
          <w:spacing w:val="-6"/>
        </w:rPr>
        <w:t xml:space="preserve"> </w:t>
      </w:r>
      <w:r>
        <w:t>approach</w:t>
      </w:r>
      <w:r>
        <w:rPr>
          <w:spacing w:val="-6"/>
        </w:rPr>
        <w:t xml:space="preserve"> </w:t>
      </w:r>
      <w:r>
        <w:t>to</w:t>
      </w:r>
      <w:r>
        <w:rPr>
          <w:spacing w:val="-6"/>
        </w:rPr>
        <w:t xml:space="preserve"> </w:t>
      </w:r>
      <w:r>
        <w:t>accounting</w:t>
      </w:r>
      <w:r>
        <w:rPr>
          <w:spacing w:val="-6"/>
        </w:rPr>
        <w:t xml:space="preserve"> </w:t>
      </w:r>
      <w:r>
        <w:t>known</w:t>
      </w:r>
      <w:r>
        <w:rPr>
          <w:spacing w:val="-6"/>
        </w:rPr>
        <w:t xml:space="preserve"> </w:t>
      </w:r>
      <w:r>
        <w:t>as</w:t>
      </w:r>
      <w:r>
        <w:rPr>
          <w:spacing w:val="-6"/>
        </w:rPr>
        <w:t xml:space="preserve"> </w:t>
      </w:r>
      <w:r>
        <w:rPr>
          <w:i/>
        </w:rPr>
        <w:t>fair</w:t>
      </w:r>
      <w:r>
        <w:rPr>
          <w:i/>
          <w:spacing w:val="-6"/>
        </w:rPr>
        <w:t xml:space="preserve"> </w:t>
      </w:r>
      <w:r>
        <w:rPr>
          <w:i/>
        </w:rPr>
        <w:t>value</w:t>
      </w:r>
      <w:r>
        <w:rPr>
          <w:i/>
          <w:spacing w:val="-6"/>
        </w:rPr>
        <w:t xml:space="preserve"> </w:t>
      </w:r>
      <w:r>
        <w:rPr>
          <w:i/>
        </w:rPr>
        <w:t xml:space="preserve">accounting </w:t>
      </w:r>
      <w:r>
        <w:t>(</w:t>
      </w:r>
      <w:proofErr w:type="spellStart"/>
      <w:r>
        <w:t>Baudot</w:t>
      </w:r>
      <w:proofErr w:type="spellEnd"/>
      <w:r>
        <w:t>, 2018; Lennard, 2002; Morley, 2016; Walton, 2009; Whittington, 2008).</w:t>
      </w:r>
    </w:p>
    <w:p w14:paraId="63464709" w14:textId="1BDB3642" w:rsidR="00D66AD3" w:rsidRDefault="00B04FC3" w:rsidP="00AA0EC5">
      <w:pPr>
        <w:pStyle w:val="BodyText"/>
      </w:pPr>
      <w:r>
        <w:t>Interviews with 12 individuals at the IASB indicated that a subgroup dominated board de- liberations.</w:t>
      </w:r>
      <w:r>
        <w:rPr>
          <w:spacing w:val="40"/>
        </w:rPr>
        <w:t xml:space="preserve"> </w:t>
      </w:r>
      <w:r>
        <w:t>A detailed analysis of the deliberation during two board meetings (46 minutes and</w:t>
      </w:r>
      <w:r>
        <w:rPr>
          <w:spacing w:val="40"/>
        </w:rPr>
        <w:t xml:space="preserve"> </w:t>
      </w:r>
      <w:r>
        <w:t>62</w:t>
      </w:r>
      <w:r>
        <w:rPr>
          <w:spacing w:val="-14"/>
        </w:rPr>
        <w:t xml:space="preserve"> </w:t>
      </w:r>
      <w:r>
        <w:t>minutes</w:t>
      </w:r>
      <w:r>
        <w:rPr>
          <w:spacing w:val="-14"/>
        </w:rPr>
        <w:t xml:space="preserve"> </w:t>
      </w:r>
      <w:r>
        <w:t>respectively)</w:t>
      </w:r>
      <w:r>
        <w:rPr>
          <w:spacing w:val="-14"/>
        </w:rPr>
        <w:t xml:space="preserve"> </w:t>
      </w:r>
      <w:r>
        <w:t>then</w:t>
      </w:r>
      <w:r>
        <w:rPr>
          <w:spacing w:val="-14"/>
        </w:rPr>
        <w:t xml:space="preserve"> </w:t>
      </w:r>
      <w:r>
        <w:t>identified</w:t>
      </w:r>
      <w:r>
        <w:rPr>
          <w:spacing w:val="-14"/>
        </w:rPr>
        <w:t xml:space="preserve"> </w:t>
      </w:r>
      <w:r>
        <w:t>the</w:t>
      </w:r>
      <w:r>
        <w:rPr>
          <w:spacing w:val="-14"/>
        </w:rPr>
        <w:t xml:space="preserve"> </w:t>
      </w:r>
      <w:r>
        <w:t>particular</w:t>
      </w:r>
      <w:r>
        <w:rPr>
          <w:spacing w:val="-14"/>
        </w:rPr>
        <w:t xml:space="preserve"> </w:t>
      </w:r>
      <w:r>
        <w:t>conversational</w:t>
      </w:r>
      <w:r>
        <w:rPr>
          <w:spacing w:val="-14"/>
        </w:rPr>
        <w:t xml:space="preserve"> </w:t>
      </w:r>
      <w:r>
        <w:t>traits</w:t>
      </w:r>
      <w:r>
        <w:rPr>
          <w:spacing w:val="-14"/>
        </w:rPr>
        <w:t xml:space="preserve"> </w:t>
      </w:r>
      <w:r>
        <w:t>used</w:t>
      </w:r>
      <w:r>
        <w:rPr>
          <w:spacing w:val="-14"/>
        </w:rPr>
        <w:t xml:space="preserve"> </w:t>
      </w:r>
      <w:r>
        <w:t>by</w:t>
      </w:r>
      <w:r>
        <w:rPr>
          <w:spacing w:val="-14"/>
        </w:rPr>
        <w:t xml:space="preserve"> </w:t>
      </w:r>
      <w:r>
        <w:t>board</w:t>
      </w:r>
      <w:r>
        <w:rPr>
          <w:spacing w:val="-14"/>
        </w:rPr>
        <w:t xml:space="preserve"> </w:t>
      </w:r>
      <w:r>
        <w:t>members within</w:t>
      </w:r>
      <w:r>
        <w:rPr>
          <w:spacing w:val="-15"/>
        </w:rPr>
        <w:t xml:space="preserve"> </w:t>
      </w:r>
      <w:r>
        <w:t>and</w:t>
      </w:r>
      <w:r>
        <w:rPr>
          <w:spacing w:val="-15"/>
        </w:rPr>
        <w:t xml:space="preserve"> </w:t>
      </w:r>
      <w:r>
        <w:t>outside</w:t>
      </w:r>
      <w:r>
        <w:rPr>
          <w:spacing w:val="-15"/>
        </w:rPr>
        <w:t xml:space="preserve"> </w:t>
      </w:r>
      <w:r>
        <w:t>the</w:t>
      </w:r>
      <w:r>
        <w:rPr>
          <w:spacing w:val="-15"/>
        </w:rPr>
        <w:t xml:space="preserve"> </w:t>
      </w:r>
      <w:r>
        <w:t>subgroup</w:t>
      </w:r>
      <w:r>
        <w:rPr>
          <w:spacing w:val="-15"/>
        </w:rPr>
        <w:t xml:space="preserve"> </w:t>
      </w:r>
      <w:r>
        <w:t>regarding</w:t>
      </w:r>
      <w:r>
        <w:rPr>
          <w:spacing w:val="-15"/>
        </w:rPr>
        <w:t xml:space="preserve"> </w:t>
      </w:r>
      <w:r>
        <w:t>powerful</w:t>
      </w:r>
      <w:r>
        <w:rPr>
          <w:spacing w:val="-15"/>
        </w:rPr>
        <w:t xml:space="preserve"> </w:t>
      </w:r>
      <w:r>
        <w:t>speech</w:t>
      </w:r>
      <w:r>
        <w:rPr>
          <w:spacing w:val="-15"/>
        </w:rPr>
        <w:t xml:space="preserve"> </w:t>
      </w:r>
      <w:r>
        <w:t>style</w:t>
      </w:r>
      <w:r>
        <w:rPr>
          <w:spacing w:val="-15"/>
        </w:rPr>
        <w:t xml:space="preserve"> </w:t>
      </w:r>
      <w:r>
        <w:t>and</w:t>
      </w:r>
      <w:r>
        <w:rPr>
          <w:spacing w:val="-15"/>
        </w:rPr>
        <w:t xml:space="preserve"> </w:t>
      </w:r>
      <w:r>
        <w:t>violations</w:t>
      </w:r>
      <w:r>
        <w:rPr>
          <w:spacing w:val="-15"/>
        </w:rPr>
        <w:t xml:space="preserve"> </w:t>
      </w:r>
      <w:r>
        <w:t>of</w:t>
      </w:r>
      <w:r>
        <w:rPr>
          <w:spacing w:val="-15"/>
        </w:rPr>
        <w:t xml:space="preserve"> </w:t>
      </w:r>
      <w:r>
        <w:t>turn-taking.</w:t>
      </w:r>
      <w:r>
        <w:rPr>
          <w:spacing w:val="-2"/>
        </w:rPr>
        <w:t xml:space="preserve"> </w:t>
      </w:r>
      <w:r>
        <w:t>The analysis</w:t>
      </w:r>
      <w:r>
        <w:rPr>
          <w:spacing w:val="-9"/>
        </w:rPr>
        <w:t xml:space="preserve"> </w:t>
      </w:r>
      <w:r>
        <w:t>of</w:t>
      </w:r>
      <w:r>
        <w:rPr>
          <w:spacing w:val="-9"/>
        </w:rPr>
        <w:t xml:space="preserve"> </w:t>
      </w:r>
      <w:r>
        <w:t>board</w:t>
      </w:r>
      <w:r>
        <w:rPr>
          <w:spacing w:val="-9"/>
        </w:rPr>
        <w:t xml:space="preserve"> </w:t>
      </w:r>
      <w:r>
        <w:t>deliberation</w:t>
      </w:r>
      <w:r>
        <w:rPr>
          <w:spacing w:val="-9"/>
        </w:rPr>
        <w:t xml:space="preserve"> </w:t>
      </w:r>
      <w:r>
        <w:t>reveals</w:t>
      </w:r>
      <w:r>
        <w:rPr>
          <w:spacing w:val="-9"/>
        </w:rPr>
        <w:t xml:space="preserve"> </w:t>
      </w:r>
      <w:r>
        <w:t>differences</w:t>
      </w:r>
      <w:r>
        <w:rPr>
          <w:spacing w:val="-9"/>
        </w:rPr>
        <w:t xml:space="preserve"> </w:t>
      </w:r>
      <w:r>
        <w:t>in</w:t>
      </w:r>
      <w:r>
        <w:rPr>
          <w:spacing w:val="-9"/>
        </w:rPr>
        <w:t xml:space="preserve"> </w:t>
      </w:r>
      <w:r>
        <w:t>the</w:t>
      </w:r>
      <w:r>
        <w:rPr>
          <w:spacing w:val="-9"/>
        </w:rPr>
        <w:t xml:space="preserve"> </w:t>
      </w:r>
      <w:r>
        <w:t>conversational</w:t>
      </w:r>
      <w:r>
        <w:rPr>
          <w:spacing w:val="-9"/>
        </w:rPr>
        <w:t xml:space="preserve"> </w:t>
      </w:r>
      <w:r>
        <w:t>characteristics</w:t>
      </w:r>
      <w:r>
        <w:rPr>
          <w:spacing w:val="-9"/>
        </w:rPr>
        <w:t xml:space="preserve"> </w:t>
      </w:r>
      <w:r>
        <w:t>between</w:t>
      </w:r>
      <w:r>
        <w:rPr>
          <w:spacing w:val="-9"/>
        </w:rPr>
        <w:t xml:space="preserve"> </w:t>
      </w:r>
      <w:r>
        <w:t>the members of the subgroup and those of the other board members, consistent with the assumptions of the model and summari</w:t>
      </w:r>
      <w:r w:rsidR="00FA28B9">
        <w:t>z</w:t>
      </w:r>
      <w:r>
        <w:t xml:space="preserve">ed in Table </w:t>
      </w:r>
      <w:r w:rsidR="0081427E">
        <w:t>2</w:t>
      </w:r>
      <w:r>
        <w:t xml:space="preserve"> below.</w:t>
      </w:r>
    </w:p>
    <w:p w14:paraId="1A2005E7" w14:textId="77777777" w:rsidR="004E1040" w:rsidRDefault="004E1040" w:rsidP="00AA0EC5">
      <w:pPr>
        <w:pStyle w:val="BodyText"/>
      </w:pPr>
    </w:p>
    <w:p w14:paraId="598F3C65" w14:textId="77777777" w:rsidR="00342D0F" w:rsidRDefault="00342D0F" w:rsidP="00AA2CFF">
      <w:pPr>
        <w:pStyle w:val="BodyText"/>
        <w:ind w:firstLine="0"/>
        <w:jc w:val="center"/>
      </w:pPr>
      <w:r>
        <w:t>-----------------------</w:t>
      </w:r>
    </w:p>
    <w:p w14:paraId="670CC17C" w14:textId="77777777" w:rsidR="00D66AD3" w:rsidRDefault="004E1040" w:rsidP="00AA2CFF">
      <w:pPr>
        <w:pStyle w:val="BodyText"/>
        <w:ind w:firstLine="0"/>
        <w:jc w:val="center"/>
      </w:pPr>
      <w:r>
        <w:t xml:space="preserve">Table </w:t>
      </w:r>
      <w:r w:rsidR="00E954B1">
        <w:t>2</w:t>
      </w:r>
      <w:r>
        <w:t xml:space="preserve"> about here</w:t>
      </w:r>
    </w:p>
    <w:p w14:paraId="6F67A73B" w14:textId="77777777" w:rsidR="00342D0F" w:rsidRDefault="00342D0F" w:rsidP="00AA2CFF">
      <w:pPr>
        <w:pStyle w:val="BodyText"/>
        <w:ind w:firstLine="0"/>
        <w:jc w:val="center"/>
      </w:pPr>
      <w:r>
        <w:t>-----------------------</w:t>
      </w:r>
    </w:p>
    <w:p w14:paraId="768785EE" w14:textId="77777777" w:rsidR="00D66AD3" w:rsidRDefault="00D66AD3" w:rsidP="00AA0EC5">
      <w:pPr>
        <w:pStyle w:val="BodyText"/>
      </w:pPr>
    </w:p>
    <w:p w14:paraId="63BACFF0" w14:textId="77777777" w:rsidR="004F678D" w:rsidRDefault="004F678D" w:rsidP="000D511E">
      <w:pPr>
        <w:pStyle w:val="Heading1"/>
        <w:jc w:val="left"/>
      </w:pPr>
    </w:p>
    <w:p w14:paraId="4829F345" w14:textId="008E074D" w:rsidR="00D66AD3" w:rsidRPr="00C57BFB" w:rsidRDefault="00B04FC3" w:rsidP="00C57BFB">
      <w:pPr>
        <w:pStyle w:val="Heading1"/>
      </w:pPr>
      <w:r w:rsidRPr="00C57BFB">
        <w:lastRenderedPageBreak/>
        <w:t>D</w:t>
      </w:r>
      <w:r w:rsidR="004E1040" w:rsidRPr="00C57BFB">
        <w:t>ISCUSSION AND CONCLUSION</w:t>
      </w:r>
    </w:p>
    <w:p w14:paraId="54A23377" w14:textId="77777777" w:rsidR="00FA28B9" w:rsidRPr="004E1040" w:rsidRDefault="00FA28B9" w:rsidP="004E1040">
      <w:pPr>
        <w:pStyle w:val="BodyText"/>
        <w:jc w:val="center"/>
        <w:rPr>
          <w:b/>
          <w:bCs/>
        </w:rPr>
      </w:pPr>
    </w:p>
    <w:p w14:paraId="6D9D4919" w14:textId="6D9C703B" w:rsidR="00D66AD3" w:rsidRDefault="00B04FC3" w:rsidP="00F63D8D">
      <w:pPr>
        <w:pStyle w:val="BodyText"/>
      </w:pPr>
      <w:r>
        <w:t>The agent-based model developed in this paper demonstrates one possible set of mechanisms by which small groups, such as that subgroup on the IASB board, could exert excessive influence, potentially</w:t>
      </w:r>
      <w:r>
        <w:rPr>
          <w:spacing w:val="-15"/>
        </w:rPr>
        <w:t xml:space="preserve"> </w:t>
      </w:r>
      <w:r>
        <w:t>extending</w:t>
      </w:r>
      <w:r>
        <w:rPr>
          <w:spacing w:val="-15"/>
        </w:rPr>
        <w:t xml:space="preserve"> </w:t>
      </w:r>
      <w:r>
        <w:t>to</w:t>
      </w:r>
      <w:r>
        <w:rPr>
          <w:spacing w:val="-15"/>
        </w:rPr>
        <w:t xml:space="preserve"> </w:t>
      </w:r>
      <w:r>
        <w:t>voting</w:t>
      </w:r>
      <w:r>
        <w:rPr>
          <w:spacing w:val="-15"/>
        </w:rPr>
        <w:t xml:space="preserve"> </w:t>
      </w:r>
      <w:r>
        <w:t>outcomes.</w:t>
      </w:r>
      <w:r>
        <w:rPr>
          <w:spacing w:val="-11"/>
        </w:rPr>
        <w:t xml:space="preserve"> </w:t>
      </w:r>
      <w:r>
        <w:t>The</w:t>
      </w:r>
      <w:r>
        <w:rPr>
          <w:spacing w:val="-15"/>
        </w:rPr>
        <w:t xml:space="preserve"> </w:t>
      </w:r>
      <w:r>
        <w:t>empirical</w:t>
      </w:r>
      <w:r>
        <w:rPr>
          <w:spacing w:val="-15"/>
        </w:rPr>
        <w:t xml:space="preserve"> </w:t>
      </w:r>
      <w:r>
        <w:t>evidence</w:t>
      </w:r>
      <w:r>
        <w:rPr>
          <w:spacing w:val="-15"/>
        </w:rPr>
        <w:t xml:space="preserve"> </w:t>
      </w:r>
      <w:r>
        <w:t>provided</w:t>
      </w:r>
      <w:r>
        <w:rPr>
          <w:spacing w:val="-15"/>
        </w:rPr>
        <w:t xml:space="preserve"> </w:t>
      </w:r>
      <w:r>
        <w:t>to</w:t>
      </w:r>
      <w:r>
        <w:rPr>
          <w:spacing w:val="-15"/>
        </w:rPr>
        <w:t xml:space="preserve"> </w:t>
      </w:r>
      <w:r>
        <w:t>validate</w:t>
      </w:r>
      <w:r>
        <w:rPr>
          <w:spacing w:val="-15"/>
        </w:rPr>
        <w:t xml:space="preserve"> </w:t>
      </w:r>
      <w:r>
        <w:t>the</w:t>
      </w:r>
      <w:r>
        <w:rPr>
          <w:spacing w:val="-15"/>
        </w:rPr>
        <w:t xml:space="preserve"> </w:t>
      </w:r>
      <w:r>
        <w:t>assump</w:t>
      </w:r>
      <w:r>
        <w:rPr>
          <w:spacing w:val="-2"/>
        </w:rPr>
        <w:t>tions</w:t>
      </w:r>
      <w:r>
        <w:rPr>
          <w:spacing w:val="-5"/>
        </w:rPr>
        <w:t xml:space="preserve"> </w:t>
      </w:r>
      <w:r>
        <w:rPr>
          <w:spacing w:val="-2"/>
        </w:rPr>
        <w:t>of</w:t>
      </w:r>
      <w:r>
        <w:rPr>
          <w:spacing w:val="-5"/>
        </w:rPr>
        <w:t xml:space="preserve"> </w:t>
      </w:r>
      <w:r>
        <w:rPr>
          <w:spacing w:val="-2"/>
        </w:rPr>
        <w:t>the</w:t>
      </w:r>
      <w:r>
        <w:rPr>
          <w:spacing w:val="-5"/>
        </w:rPr>
        <w:t xml:space="preserve"> </w:t>
      </w:r>
      <w:r>
        <w:rPr>
          <w:spacing w:val="-2"/>
        </w:rPr>
        <w:t>model</w:t>
      </w:r>
      <w:r>
        <w:rPr>
          <w:spacing w:val="-5"/>
        </w:rPr>
        <w:t xml:space="preserve"> </w:t>
      </w:r>
      <w:r>
        <w:rPr>
          <w:spacing w:val="-2"/>
        </w:rPr>
        <w:t>suggests</w:t>
      </w:r>
      <w:r>
        <w:rPr>
          <w:spacing w:val="-5"/>
        </w:rPr>
        <w:t xml:space="preserve"> </w:t>
      </w:r>
      <w:r>
        <w:rPr>
          <w:spacing w:val="-2"/>
        </w:rPr>
        <w:t>the</w:t>
      </w:r>
      <w:r>
        <w:rPr>
          <w:spacing w:val="-5"/>
        </w:rPr>
        <w:t xml:space="preserve"> </w:t>
      </w:r>
      <w:r>
        <w:rPr>
          <w:spacing w:val="-2"/>
        </w:rPr>
        <w:t>phenomenon</w:t>
      </w:r>
      <w:r>
        <w:rPr>
          <w:spacing w:val="-5"/>
        </w:rPr>
        <w:t xml:space="preserve"> </w:t>
      </w:r>
      <w:r>
        <w:rPr>
          <w:spacing w:val="-2"/>
        </w:rPr>
        <w:t>captured</w:t>
      </w:r>
      <w:r>
        <w:rPr>
          <w:spacing w:val="-5"/>
        </w:rPr>
        <w:t xml:space="preserve"> </w:t>
      </w:r>
      <w:r>
        <w:rPr>
          <w:spacing w:val="-2"/>
        </w:rPr>
        <w:t>by</w:t>
      </w:r>
      <w:r>
        <w:rPr>
          <w:spacing w:val="-5"/>
        </w:rPr>
        <w:t xml:space="preserve"> </w:t>
      </w:r>
      <w:r>
        <w:rPr>
          <w:spacing w:val="-2"/>
        </w:rPr>
        <w:t>the</w:t>
      </w:r>
      <w:r>
        <w:rPr>
          <w:spacing w:val="-5"/>
        </w:rPr>
        <w:t xml:space="preserve"> </w:t>
      </w:r>
      <w:r>
        <w:rPr>
          <w:spacing w:val="-2"/>
        </w:rPr>
        <w:t>model</w:t>
      </w:r>
      <w:r>
        <w:rPr>
          <w:spacing w:val="-5"/>
        </w:rPr>
        <w:t xml:space="preserve"> </w:t>
      </w:r>
      <w:r>
        <w:rPr>
          <w:spacing w:val="-2"/>
        </w:rPr>
        <w:t>could</w:t>
      </w:r>
      <w:r>
        <w:rPr>
          <w:spacing w:val="-5"/>
        </w:rPr>
        <w:t xml:space="preserve"> </w:t>
      </w:r>
      <w:r>
        <w:rPr>
          <w:spacing w:val="-2"/>
        </w:rPr>
        <w:t>be</w:t>
      </w:r>
      <w:r>
        <w:rPr>
          <w:spacing w:val="-5"/>
        </w:rPr>
        <w:t xml:space="preserve"> </w:t>
      </w:r>
      <w:r>
        <w:rPr>
          <w:spacing w:val="-2"/>
        </w:rPr>
        <w:t>relatively</w:t>
      </w:r>
      <w:r>
        <w:rPr>
          <w:spacing w:val="-5"/>
        </w:rPr>
        <w:t xml:space="preserve"> </w:t>
      </w:r>
      <w:r>
        <w:rPr>
          <w:spacing w:val="-2"/>
        </w:rPr>
        <w:t>widespread.</w:t>
      </w:r>
      <w:r w:rsidR="00F63D8D">
        <w:rPr>
          <w:spacing w:val="-2"/>
        </w:rPr>
        <w:t xml:space="preserve"> </w:t>
      </w:r>
      <w:r>
        <w:t>There are, for example, many ways that “argumentative capability” and “turn-taking violations” could be reali</w:t>
      </w:r>
      <w:r w:rsidR="00FA28B9">
        <w:t>z</w:t>
      </w:r>
      <w:r>
        <w:t>ed in the day-to-day practices of real-world boards.</w:t>
      </w:r>
      <w:r>
        <w:rPr>
          <w:spacing w:val="40"/>
        </w:rPr>
        <w:t xml:space="preserve"> </w:t>
      </w:r>
      <w:r>
        <w:t>In addition, the tipping point at which small subgroups can wield disproportionate influence is surprising small: we have seen that</w:t>
      </w:r>
      <w:r>
        <w:rPr>
          <w:spacing w:val="-2"/>
        </w:rPr>
        <w:t xml:space="preserve"> </w:t>
      </w:r>
      <w:r>
        <w:t>a</w:t>
      </w:r>
      <w:r>
        <w:rPr>
          <w:spacing w:val="-2"/>
        </w:rPr>
        <w:t xml:space="preserve"> </w:t>
      </w:r>
      <w:r>
        <w:t>point</w:t>
      </w:r>
      <w:r>
        <w:rPr>
          <w:spacing w:val="-2"/>
        </w:rPr>
        <w:t xml:space="preserve"> </w:t>
      </w:r>
      <w:r>
        <w:t>of</w:t>
      </w:r>
      <w:r>
        <w:rPr>
          <w:spacing w:val="-2"/>
        </w:rPr>
        <w:t xml:space="preserve"> </w:t>
      </w:r>
      <w:r>
        <w:t>criticality</w:t>
      </w:r>
      <w:r>
        <w:rPr>
          <w:spacing w:val="-2"/>
        </w:rPr>
        <w:t xml:space="preserve"> </w:t>
      </w:r>
      <w:r>
        <w:t>is</w:t>
      </w:r>
      <w:r>
        <w:rPr>
          <w:spacing w:val="-2"/>
        </w:rPr>
        <w:t xml:space="preserve"> </w:t>
      </w:r>
      <w:r>
        <w:t>reached</w:t>
      </w:r>
      <w:r>
        <w:rPr>
          <w:spacing w:val="-2"/>
        </w:rPr>
        <w:t xml:space="preserve"> </w:t>
      </w:r>
      <w:r>
        <w:t>when</w:t>
      </w:r>
      <w:r>
        <w:rPr>
          <w:spacing w:val="-2"/>
        </w:rPr>
        <w:t xml:space="preserve"> </w:t>
      </w:r>
      <w:r>
        <w:t>the</w:t>
      </w:r>
      <w:r>
        <w:rPr>
          <w:spacing w:val="-2"/>
        </w:rPr>
        <w:t xml:space="preserve"> </w:t>
      </w:r>
      <w:r>
        <w:t>small</w:t>
      </w:r>
      <w:r>
        <w:rPr>
          <w:spacing w:val="-2"/>
        </w:rPr>
        <w:t xml:space="preserve"> </w:t>
      </w:r>
      <w:r>
        <w:t>subgroup</w:t>
      </w:r>
      <w:r>
        <w:rPr>
          <w:spacing w:val="-2"/>
        </w:rPr>
        <w:t xml:space="preserve"> </w:t>
      </w:r>
      <w:r>
        <w:t>is</w:t>
      </w:r>
      <w:r>
        <w:rPr>
          <w:spacing w:val="-2"/>
        </w:rPr>
        <w:t xml:space="preserve"> </w:t>
      </w:r>
      <w:r>
        <w:t>no</w:t>
      </w:r>
      <w:r>
        <w:rPr>
          <w:spacing w:val="-2"/>
        </w:rPr>
        <w:t xml:space="preserve"> </w:t>
      </w:r>
      <w:r>
        <w:t>more</w:t>
      </w:r>
      <w:r>
        <w:rPr>
          <w:spacing w:val="-2"/>
        </w:rPr>
        <w:t xml:space="preserve"> </w:t>
      </w:r>
      <w:r>
        <w:t>than</w:t>
      </w:r>
      <w:r>
        <w:rPr>
          <w:spacing w:val="-2"/>
        </w:rPr>
        <w:t xml:space="preserve"> </w:t>
      </w:r>
      <w:r>
        <w:t>4</w:t>
      </w:r>
      <w:r>
        <w:rPr>
          <w:spacing w:val="-2"/>
        </w:rPr>
        <w:t xml:space="preserve"> </w:t>
      </w:r>
      <w:r>
        <w:t>out</w:t>
      </w:r>
      <w:r>
        <w:rPr>
          <w:spacing w:val="-2"/>
        </w:rPr>
        <w:t xml:space="preserve"> </w:t>
      </w:r>
      <w:r>
        <w:t>of</w:t>
      </w:r>
      <w:r>
        <w:rPr>
          <w:spacing w:val="-2"/>
        </w:rPr>
        <w:t xml:space="preserve"> </w:t>
      </w:r>
      <w:r>
        <w:t>14. These findings contribute to a recent stream of literature on the negative effects of subgroups on board</w:t>
      </w:r>
      <w:r>
        <w:rPr>
          <w:spacing w:val="-9"/>
        </w:rPr>
        <w:t xml:space="preserve"> </w:t>
      </w:r>
      <w:r>
        <w:t>effectiveness</w:t>
      </w:r>
      <w:r>
        <w:rPr>
          <w:spacing w:val="-9"/>
        </w:rPr>
        <w:t xml:space="preserve"> </w:t>
      </w:r>
      <w:r>
        <w:t>(</w:t>
      </w:r>
      <w:proofErr w:type="spellStart"/>
      <w:r>
        <w:t>Carcello</w:t>
      </w:r>
      <w:proofErr w:type="spellEnd"/>
      <w:r>
        <w:rPr>
          <w:spacing w:val="-9"/>
        </w:rPr>
        <w:t xml:space="preserve"> </w:t>
      </w:r>
      <w:r>
        <w:t>et</w:t>
      </w:r>
      <w:r>
        <w:rPr>
          <w:spacing w:val="-9"/>
        </w:rPr>
        <w:t xml:space="preserve"> </w:t>
      </w:r>
      <w:r>
        <w:t>al.,</w:t>
      </w:r>
      <w:r>
        <w:rPr>
          <w:spacing w:val="-9"/>
        </w:rPr>
        <w:t xml:space="preserve"> </w:t>
      </w:r>
      <w:r>
        <w:t>2011;</w:t>
      </w:r>
      <w:r>
        <w:rPr>
          <w:spacing w:val="-9"/>
        </w:rPr>
        <w:t xml:space="preserve"> </w:t>
      </w:r>
      <w:r>
        <w:t>Adair</w:t>
      </w:r>
      <w:r>
        <w:rPr>
          <w:spacing w:val="-9"/>
        </w:rPr>
        <w:t xml:space="preserve"> </w:t>
      </w:r>
      <w:r>
        <w:t>et</w:t>
      </w:r>
      <w:r>
        <w:rPr>
          <w:spacing w:val="-9"/>
        </w:rPr>
        <w:t xml:space="preserve"> </w:t>
      </w:r>
      <w:r>
        <w:t>al.,</w:t>
      </w:r>
      <w:r>
        <w:rPr>
          <w:spacing w:val="-9"/>
        </w:rPr>
        <w:t xml:space="preserve"> </w:t>
      </w:r>
      <w:r>
        <w:t>2017;</w:t>
      </w:r>
      <w:r>
        <w:rPr>
          <w:spacing w:val="-9"/>
        </w:rPr>
        <w:t xml:space="preserve"> </w:t>
      </w:r>
      <w:proofErr w:type="spellStart"/>
      <w:r>
        <w:t>Bezrukova</w:t>
      </w:r>
      <w:proofErr w:type="spellEnd"/>
      <w:r>
        <w:rPr>
          <w:spacing w:val="-9"/>
        </w:rPr>
        <w:t xml:space="preserve"> </w:t>
      </w:r>
      <w:r>
        <w:t>et</w:t>
      </w:r>
      <w:r>
        <w:rPr>
          <w:spacing w:val="-9"/>
        </w:rPr>
        <w:t xml:space="preserve"> </w:t>
      </w:r>
      <w:r>
        <w:t>al.,</w:t>
      </w:r>
      <w:r>
        <w:rPr>
          <w:spacing w:val="-9"/>
        </w:rPr>
        <w:t xml:space="preserve"> </w:t>
      </w:r>
      <w:r>
        <w:t>2009,</w:t>
      </w:r>
      <w:r>
        <w:rPr>
          <w:spacing w:val="-9"/>
        </w:rPr>
        <w:t xml:space="preserve"> </w:t>
      </w:r>
      <w:r>
        <w:t>2016;</w:t>
      </w:r>
      <w:r>
        <w:rPr>
          <w:spacing w:val="-9"/>
        </w:rPr>
        <w:t xml:space="preserve"> </w:t>
      </w:r>
      <w:proofErr w:type="spellStart"/>
      <w:r>
        <w:t>Crucke</w:t>
      </w:r>
      <w:proofErr w:type="spellEnd"/>
      <w:r>
        <w:t xml:space="preserve"> and</w:t>
      </w:r>
      <w:r>
        <w:rPr>
          <w:spacing w:val="-9"/>
        </w:rPr>
        <w:t xml:space="preserve"> </w:t>
      </w:r>
      <w:proofErr w:type="spellStart"/>
      <w:r>
        <w:t>Knockaert</w:t>
      </w:r>
      <w:proofErr w:type="spellEnd"/>
      <w:r>
        <w:t>,</w:t>
      </w:r>
      <w:r>
        <w:rPr>
          <w:spacing w:val="-10"/>
        </w:rPr>
        <w:t xml:space="preserve"> </w:t>
      </w:r>
      <w:r>
        <w:t>2016;</w:t>
      </w:r>
      <w:r>
        <w:rPr>
          <w:spacing w:val="-9"/>
        </w:rPr>
        <w:t xml:space="preserve"> </w:t>
      </w:r>
      <w:r>
        <w:t>Golden</w:t>
      </w:r>
      <w:r>
        <w:rPr>
          <w:spacing w:val="-9"/>
        </w:rPr>
        <w:t xml:space="preserve"> </w:t>
      </w:r>
      <w:r>
        <w:t>and</w:t>
      </w:r>
      <w:r>
        <w:rPr>
          <w:spacing w:val="-10"/>
        </w:rPr>
        <w:t xml:space="preserve"> </w:t>
      </w:r>
      <w:r>
        <w:t>Zajac,</w:t>
      </w:r>
      <w:r>
        <w:rPr>
          <w:spacing w:val="-9"/>
        </w:rPr>
        <w:t xml:space="preserve"> </w:t>
      </w:r>
      <w:r>
        <w:t>2001;</w:t>
      </w:r>
      <w:r>
        <w:rPr>
          <w:spacing w:val="-9"/>
        </w:rPr>
        <w:t xml:space="preserve"> </w:t>
      </w:r>
      <w:r>
        <w:t>Hambrick</w:t>
      </w:r>
      <w:r>
        <w:rPr>
          <w:spacing w:val="-10"/>
        </w:rPr>
        <w:t xml:space="preserve"> </w:t>
      </w:r>
      <w:r>
        <w:t>et</w:t>
      </w:r>
      <w:r>
        <w:rPr>
          <w:spacing w:val="-9"/>
        </w:rPr>
        <w:t xml:space="preserve"> </w:t>
      </w:r>
      <w:r>
        <w:t>al.,</w:t>
      </w:r>
      <w:r>
        <w:rPr>
          <w:spacing w:val="-9"/>
        </w:rPr>
        <w:t xml:space="preserve"> </w:t>
      </w:r>
      <w:r>
        <w:t>2008;</w:t>
      </w:r>
      <w:r>
        <w:rPr>
          <w:spacing w:val="-10"/>
        </w:rPr>
        <w:t xml:space="preserve"> </w:t>
      </w:r>
      <w:r>
        <w:t>Van</w:t>
      </w:r>
      <w:r>
        <w:rPr>
          <w:spacing w:val="-9"/>
        </w:rPr>
        <w:t xml:space="preserve"> </w:t>
      </w:r>
      <w:proofErr w:type="spellStart"/>
      <w:r>
        <w:t>Peteghem</w:t>
      </w:r>
      <w:proofErr w:type="spellEnd"/>
      <w:r>
        <w:rPr>
          <w:spacing w:val="-9"/>
        </w:rPr>
        <w:t xml:space="preserve"> </w:t>
      </w:r>
      <w:r>
        <w:t>et</w:t>
      </w:r>
      <w:r>
        <w:rPr>
          <w:spacing w:val="-9"/>
        </w:rPr>
        <w:t xml:space="preserve"> </w:t>
      </w:r>
      <w:r>
        <w:t>al.,</w:t>
      </w:r>
      <w:r>
        <w:rPr>
          <w:spacing w:val="-10"/>
        </w:rPr>
        <w:t xml:space="preserve"> </w:t>
      </w:r>
      <w:r>
        <w:t>2018), by</w:t>
      </w:r>
      <w:r>
        <w:rPr>
          <w:spacing w:val="-2"/>
        </w:rPr>
        <w:t xml:space="preserve"> </w:t>
      </w:r>
      <w:r>
        <w:t>demonstrating</w:t>
      </w:r>
      <w:r>
        <w:rPr>
          <w:spacing w:val="-2"/>
        </w:rPr>
        <w:t xml:space="preserve"> </w:t>
      </w:r>
      <w:r>
        <w:t>how</w:t>
      </w:r>
      <w:r>
        <w:rPr>
          <w:spacing w:val="-2"/>
        </w:rPr>
        <w:t xml:space="preserve"> </w:t>
      </w:r>
      <w:r>
        <w:t>such</w:t>
      </w:r>
      <w:r>
        <w:rPr>
          <w:spacing w:val="-2"/>
        </w:rPr>
        <w:t xml:space="preserve"> </w:t>
      </w:r>
      <w:r>
        <w:t>influence</w:t>
      </w:r>
      <w:r>
        <w:rPr>
          <w:spacing w:val="-2"/>
        </w:rPr>
        <w:t xml:space="preserve"> </w:t>
      </w:r>
      <w:r>
        <w:t>is</w:t>
      </w:r>
      <w:r>
        <w:rPr>
          <w:spacing w:val="-2"/>
        </w:rPr>
        <w:t xml:space="preserve"> </w:t>
      </w:r>
      <w:r>
        <w:t>possible. In</w:t>
      </w:r>
      <w:r>
        <w:rPr>
          <w:spacing w:val="-2"/>
        </w:rPr>
        <w:t xml:space="preserve"> </w:t>
      </w:r>
      <w:r>
        <w:t>addition,</w:t>
      </w:r>
      <w:r>
        <w:rPr>
          <w:spacing w:val="-1"/>
        </w:rPr>
        <w:t xml:space="preserve"> </w:t>
      </w:r>
      <w:r>
        <w:t>it</w:t>
      </w:r>
      <w:r>
        <w:rPr>
          <w:spacing w:val="-2"/>
        </w:rPr>
        <w:t xml:space="preserve"> </w:t>
      </w:r>
      <w:r>
        <w:t>provides</w:t>
      </w:r>
      <w:r>
        <w:rPr>
          <w:spacing w:val="-2"/>
        </w:rPr>
        <w:t xml:space="preserve"> </w:t>
      </w:r>
      <w:r>
        <w:t>an</w:t>
      </w:r>
      <w:r>
        <w:rPr>
          <w:spacing w:val="-2"/>
        </w:rPr>
        <w:t xml:space="preserve"> </w:t>
      </w:r>
      <w:r>
        <w:t>analysis</w:t>
      </w:r>
      <w:r>
        <w:rPr>
          <w:spacing w:val="-2"/>
        </w:rPr>
        <w:t xml:space="preserve"> </w:t>
      </w:r>
      <w:r>
        <w:t>of</w:t>
      </w:r>
      <w:r>
        <w:rPr>
          <w:spacing w:val="-2"/>
        </w:rPr>
        <w:t xml:space="preserve"> </w:t>
      </w:r>
      <w:r>
        <w:t>the</w:t>
      </w:r>
      <w:r>
        <w:rPr>
          <w:spacing w:val="-2"/>
        </w:rPr>
        <w:t xml:space="preserve"> </w:t>
      </w:r>
      <w:r>
        <w:t>deliberations in two board meetings which address the lack of empirical evidence highlighted in prior studies (Golden and Zajac, 2001).</w:t>
      </w:r>
    </w:p>
    <w:p w14:paraId="460A415D" w14:textId="77777777" w:rsidR="00D66AD3" w:rsidRDefault="00B04FC3" w:rsidP="00AA0EC5">
      <w:pPr>
        <w:pStyle w:val="BodyText"/>
      </w:pPr>
      <w:r>
        <w:t>There are several ways to interpret the results of the formal model.</w:t>
      </w:r>
      <w:r>
        <w:rPr>
          <w:spacing w:val="29"/>
        </w:rPr>
        <w:t xml:space="preserve"> </w:t>
      </w:r>
      <w:r>
        <w:t xml:space="preserve">One interpretation — call this is the </w:t>
      </w:r>
      <w:r>
        <w:rPr>
          <w:i/>
        </w:rPr>
        <w:t xml:space="preserve">negative </w:t>
      </w:r>
      <w:r>
        <w:t>interpretation — is that even if much effort has been spent on ensuring that a board</w:t>
      </w:r>
      <w:r>
        <w:rPr>
          <w:spacing w:val="-15"/>
        </w:rPr>
        <w:t xml:space="preserve"> </w:t>
      </w:r>
      <w:r>
        <w:t>has</w:t>
      </w:r>
      <w:r>
        <w:rPr>
          <w:spacing w:val="-15"/>
        </w:rPr>
        <w:t xml:space="preserve"> </w:t>
      </w:r>
      <w:r>
        <w:t>a</w:t>
      </w:r>
      <w:r>
        <w:rPr>
          <w:spacing w:val="-15"/>
        </w:rPr>
        <w:t xml:space="preserve"> </w:t>
      </w:r>
      <w:r>
        <w:t>diverse</w:t>
      </w:r>
      <w:r>
        <w:rPr>
          <w:spacing w:val="-15"/>
        </w:rPr>
        <w:t xml:space="preserve"> </w:t>
      </w:r>
      <w:r>
        <w:t>representation</w:t>
      </w:r>
      <w:r>
        <w:rPr>
          <w:spacing w:val="-15"/>
        </w:rPr>
        <w:t xml:space="preserve"> </w:t>
      </w:r>
      <w:r>
        <w:t>across</w:t>
      </w:r>
      <w:r>
        <w:rPr>
          <w:spacing w:val="-15"/>
        </w:rPr>
        <w:t xml:space="preserve"> </w:t>
      </w:r>
      <w:r>
        <w:t>the</w:t>
      </w:r>
      <w:r>
        <w:rPr>
          <w:spacing w:val="-15"/>
        </w:rPr>
        <w:t xml:space="preserve"> </w:t>
      </w:r>
      <w:r>
        <w:t>appropriate</w:t>
      </w:r>
      <w:r>
        <w:rPr>
          <w:spacing w:val="-15"/>
        </w:rPr>
        <w:t xml:space="preserve"> </w:t>
      </w:r>
      <w:r>
        <w:t>dimensions</w:t>
      </w:r>
      <w:r>
        <w:rPr>
          <w:spacing w:val="-15"/>
        </w:rPr>
        <w:t xml:space="preserve"> </w:t>
      </w:r>
      <w:r>
        <w:t>of</w:t>
      </w:r>
      <w:r>
        <w:rPr>
          <w:spacing w:val="-15"/>
        </w:rPr>
        <w:t xml:space="preserve"> </w:t>
      </w:r>
      <w:r>
        <w:t>interest</w:t>
      </w:r>
      <w:r>
        <w:rPr>
          <w:spacing w:val="-15"/>
        </w:rPr>
        <w:t xml:space="preserve"> </w:t>
      </w:r>
      <w:r>
        <w:t>(e.g.,</w:t>
      </w:r>
      <w:r>
        <w:rPr>
          <w:spacing w:val="-15"/>
        </w:rPr>
        <w:t xml:space="preserve"> </w:t>
      </w:r>
      <w:r>
        <w:t>geographical, qualification,</w:t>
      </w:r>
      <w:r>
        <w:rPr>
          <w:spacing w:val="-8"/>
        </w:rPr>
        <w:t xml:space="preserve"> </w:t>
      </w:r>
      <w:r>
        <w:t>cultural,</w:t>
      </w:r>
      <w:r>
        <w:rPr>
          <w:spacing w:val="-8"/>
        </w:rPr>
        <w:t xml:space="preserve"> </w:t>
      </w:r>
      <w:r>
        <w:t>ethnic,</w:t>
      </w:r>
      <w:r>
        <w:rPr>
          <w:spacing w:val="-8"/>
        </w:rPr>
        <w:t xml:space="preserve"> </w:t>
      </w:r>
      <w:r>
        <w:t>linguistic,</w:t>
      </w:r>
      <w:r>
        <w:rPr>
          <w:spacing w:val="-8"/>
        </w:rPr>
        <w:t xml:space="preserve"> </w:t>
      </w:r>
      <w:r>
        <w:t>religious,</w:t>
      </w:r>
      <w:r>
        <w:rPr>
          <w:spacing w:val="-8"/>
        </w:rPr>
        <w:t xml:space="preserve"> </w:t>
      </w:r>
      <w:r>
        <w:t>and</w:t>
      </w:r>
      <w:r>
        <w:rPr>
          <w:spacing w:val="-8"/>
        </w:rPr>
        <w:t xml:space="preserve"> </w:t>
      </w:r>
      <w:r>
        <w:t>so</w:t>
      </w:r>
      <w:r>
        <w:rPr>
          <w:spacing w:val="-8"/>
        </w:rPr>
        <w:t xml:space="preserve"> </w:t>
      </w:r>
      <w:r>
        <w:t>on),</w:t>
      </w:r>
      <w:r>
        <w:rPr>
          <w:spacing w:val="-8"/>
        </w:rPr>
        <w:t xml:space="preserve"> </w:t>
      </w:r>
      <w:r>
        <w:t>to</w:t>
      </w:r>
      <w:r>
        <w:rPr>
          <w:spacing w:val="-8"/>
        </w:rPr>
        <w:t xml:space="preserve"> </w:t>
      </w:r>
      <w:r>
        <w:t>the</w:t>
      </w:r>
      <w:r>
        <w:rPr>
          <w:spacing w:val="-8"/>
        </w:rPr>
        <w:t xml:space="preserve"> </w:t>
      </w:r>
      <w:r>
        <w:t>extent</w:t>
      </w:r>
      <w:r>
        <w:rPr>
          <w:spacing w:val="-8"/>
        </w:rPr>
        <w:t xml:space="preserve"> </w:t>
      </w:r>
      <w:r>
        <w:t>that</w:t>
      </w:r>
      <w:r>
        <w:rPr>
          <w:spacing w:val="-8"/>
        </w:rPr>
        <w:t xml:space="preserve"> </w:t>
      </w:r>
      <w:r>
        <w:t>the</w:t>
      </w:r>
      <w:r>
        <w:rPr>
          <w:spacing w:val="-8"/>
        </w:rPr>
        <w:t xml:space="preserve"> </w:t>
      </w:r>
      <w:r>
        <w:rPr>
          <w:i/>
        </w:rPr>
        <w:t>majority</w:t>
      </w:r>
      <w:r>
        <w:rPr>
          <w:i/>
          <w:spacing w:val="-8"/>
        </w:rPr>
        <w:t xml:space="preserve"> </w:t>
      </w:r>
      <w:r>
        <w:t>of</w:t>
      </w:r>
      <w:r>
        <w:rPr>
          <w:spacing w:val="-8"/>
        </w:rPr>
        <w:t xml:space="preserve"> </w:t>
      </w:r>
      <w:r>
        <w:t>the board</w:t>
      </w:r>
      <w:r>
        <w:rPr>
          <w:spacing w:val="-1"/>
        </w:rPr>
        <w:t xml:space="preserve"> </w:t>
      </w:r>
      <w:r>
        <w:t>is</w:t>
      </w:r>
      <w:r>
        <w:rPr>
          <w:spacing w:val="-1"/>
        </w:rPr>
        <w:t xml:space="preserve"> </w:t>
      </w:r>
      <w:r>
        <w:t>so constituted, that</w:t>
      </w:r>
      <w:r>
        <w:rPr>
          <w:spacing w:val="-1"/>
        </w:rPr>
        <w:t xml:space="preserve"> </w:t>
      </w:r>
      <w:r>
        <w:t>may</w:t>
      </w:r>
      <w:r>
        <w:rPr>
          <w:spacing w:val="-1"/>
        </w:rPr>
        <w:t xml:space="preserve"> </w:t>
      </w:r>
      <w:r>
        <w:t>not necessarily</w:t>
      </w:r>
      <w:r>
        <w:rPr>
          <w:spacing w:val="-1"/>
        </w:rPr>
        <w:t xml:space="preserve"> </w:t>
      </w:r>
      <w:r>
        <w:t>result</w:t>
      </w:r>
      <w:r>
        <w:rPr>
          <w:spacing w:val="-1"/>
        </w:rPr>
        <w:t xml:space="preserve"> </w:t>
      </w:r>
      <w:r>
        <w:t>in</w:t>
      </w:r>
      <w:r>
        <w:rPr>
          <w:spacing w:val="-1"/>
        </w:rPr>
        <w:t xml:space="preserve"> </w:t>
      </w:r>
      <w:r>
        <w:t>board</w:t>
      </w:r>
      <w:r>
        <w:rPr>
          <w:spacing w:val="-1"/>
        </w:rPr>
        <w:t xml:space="preserve"> </w:t>
      </w:r>
      <w:r>
        <w:t>decisions which</w:t>
      </w:r>
      <w:r>
        <w:rPr>
          <w:spacing w:val="-1"/>
        </w:rPr>
        <w:t xml:space="preserve"> </w:t>
      </w:r>
      <w:r>
        <w:t>represent</w:t>
      </w:r>
      <w:r>
        <w:rPr>
          <w:spacing w:val="-1"/>
        </w:rPr>
        <w:t xml:space="preserve"> </w:t>
      </w:r>
      <w:r>
        <w:t>the</w:t>
      </w:r>
      <w:r>
        <w:rPr>
          <w:spacing w:val="-1"/>
        </w:rPr>
        <w:t xml:space="preserve"> </w:t>
      </w:r>
      <w:r>
        <w:t>full range</w:t>
      </w:r>
      <w:r>
        <w:rPr>
          <w:spacing w:val="-15"/>
        </w:rPr>
        <w:t xml:space="preserve"> </w:t>
      </w:r>
      <w:r>
        <w:t>of</w:t>
      </w:r>
      <w:r>
        <w:rPr>
          <w:spacing w:val="-15"/>
        </w:rPr>
        <w:t xml:space="preserve"> </w:t>
      </w:r>
      <w:r>
        <w:t>diversity</w:t>
      </w:r>
      <w:r>
        <w:rPr>
          <w:spacing w:val="-15"/>
        </w:rPr>
        <w:t xml:space="preserve"> </w:t>
      </w:r>
      <w:r>
        <w:t>present</w:t>
      </w:r>
      <w:r w:rsidR="00FA28B9">
        <w:t xml:space="preserve"> and hence undermine the board’s effectiveness</w:t>
      </w:r>
      <w:r>
        <w:t>.</w:t>
      </w:r>
      <w:r>
        <w:rPr>
          <w:spacing w:val="-2"/>
        </w:rPr>
        <w:t xml:space="preserve"> </w:t>
      </w:r>
      <w:r>
        <w:t>According</w:t>
      </w:r>
      <w:r>
        <w:rPr>
          <w:spacing w:val="-15"/>
        </w:rPr>
        <w:t xml:space="preserve"> </w:t>
      </w:r>
      <w:r>
        <w:t>to</w:t>
      </w:r>
      <w:r>
        <w:rPr>
          <w:spacing w:val="-15"/>
        </w:rPr>
        <w:t xml:space="preserve"> </w:t>
      </w:r>
      <w:r>
        <w:t>the</w:t>
      </w:r>
      <w:r>
        <w:rPr>
          <w:spacing w:val="-15"/>
        </w:rPr>
        <w:t xml:space="preserve"> </w:t>
      </w:r>
      <w:r>
        <w:t>model,</w:t>
      </w:r>
      <w:r>
        <w:rPr>
          <w:spacing w:val="-14"/>
        </w:rPr>
        <w:t xml:space="preserve"> </w:t>
      </w:r>
      <w:r>
        <w:t>a</w:t>
      </w:r>
      <w:r>
        <w:rPr>
          <w:spacing w:val="-15"/>
        </w:rPr>
        <w:t xml:space="preserve"> </w:t>
      </w:r>
      <w:r>
        <w:t>small</w:t>
      </w:r>
      <w:r>
        <w:rPr>
          <w:spacing w:val="-15"/>
        </w:rPr>
        <w:t xml:space="preserve"> </w:t>
      </w:r>
      <w:r>
        <w:t>subgroup</w:t>
      </w:r>
      <w:r>
        <w:rPr>
          <w:spacing w:val="-15"/>
        </w:rPr>
        <w:t xml:space="preserve"> </w:t>
      </w:r>
      <w:r>
        <w:t>can</w:t>
      </w:r>
      <w:r>
        <w:rPr>
          <w:spacing w:val="-15"/>
        </w:rPr>
        <w:t xml:space="preserve"> </w:t>
      </w:r>
      <w:r>
        <w:t>still</w:t>
      </w:r>
      <w:r>
        <w:rPr>
          <w:spacing w:val="-15"/>
        </w:rPr>
        <w:t xml:space="preserve"> </w:t>
      </w:r>
      <w:r>
        <w:t>be</w:t>
      </w:r>
      <w:r>
        <w:rPr>
          <w:spacing w:val="-15"/>
        </w:rPr>
        <w:t xml:space="preserve"> </w:t>
      </w:r>
      <w:r>
        <w:t>disproportionately influential in determining the outcome.</w:t>
      </w:r>
      <w:r>
        <w:rPr>
          <w:spacing w:val="31"/>
        </w:rPr>
        <w:t xml:space="preserve"> </w:t>
      </w:r>
      <w:r>
        <w:t xml:space="preserve">However, a second interpretation — call this the </w:t>
      </w:r>
      <w:r>
        <w:rPr>
          <w:i/>
        </w:rPr>
        <w:t xml:space="preserve">positive </w:t>
      </w:r>
      <w:r>
        <w:t xml:space="preserve">interpretation — is that even if the board lacks a diverse representation across the appropriate dimensions of interest, to the extent that only a </w:t>
      </w:r>
      <w:r>
        <w:rPr>
          <w:i/>
        </w:rPr>
        <w:t xml:space="preserve">minority </w:t>
      </w:r>
      <w:r>
        <w:t>of board members are so chosen, that could still result in board decisions which disproportionately reflect the interests and preferences of the smaller group.</w:t>
      </w:r>
      <w:r>
        <w:rPr>
          <w:spacing w:val="40"/>
        </w:rPr>
        <w:t xml:space="preserve"> </w:t>
      </w:r>
      <w:r>
        <w:t xml:space="preserve">In this case, even a board which does not meet its compositional target regarding diverse representation could still issue decisions very similar to that of a board which </w:t>
      </w:r>
      <w:r>
        <w:rPr>
          <w:spacing w:val="-4"/>
        </w:rPr>
        <w:t>did.</w:t>
      </w:r>
    </w:p>
    <w:p w14:paraId="127A5B3D" w14:textId="381033B9" w:rsidR="00D66AD3" w:rsidRDefault="00B04FC3" w:rsidP="00AA0EC5">
      <w:pPr>
        <w:pStyle w:val="BodyText"/>
      </w:pPr>
      <w:r>
        <w:t>The</w:t>
      </w:r>
      <w:r>
        <w:rPr>
          <w:spacing w:val="-1"/>
        </w:rPr>
        <w:t xml:space="preserve"> </w:t>
      </w:r>
      <w:r>
        <w:t>first</w:t>
      </w:r>
      <w:r>
        <w:rPr>
          <w:spacing w:val="-1"/>
        </w:rPr>
        <w:t xml:space="preserve"> </w:t>
      </w:r>
      <w:r>
        <w:t>implication</w:t>
      </w:r>
      <w:r>
        <w:rPr>
          <w:spacing w:val="-2"/>
        </w:rPr>
        <w:t xml:space="preserve"> </w:t>
      </w:r>
      <w:r>
        <w:t>of</w:t>
      </w:r>
      <w:r>
        <w:rPr>
          <w:spacing w:val="-1"/>
        </w:rPr>
        <w:t xml:space="preserve"> </w:t>
      </w:r>
      <w:r>
        <w:t>the</w:t>
      </w:r>
      <w:r>
        <w:rPr>
          <w:spacing w:val="-1"/>
        </w:rPr>
        <w:t xml:space="preserve"> </w:t>
      </w:r>
      <w:r>
        <w:t>findings</w:t>
      </w:r>
      <w:r>
        <w:rPr>
          <w:spacing w:val="-1"/>
        </w:rPr>
        <w:t xml:space="preserve"> </w:t>
      </w:r>
      <w:r>
        <w:t>is</w:t>
      </w:r>
      <w:r>
        <w:rPr>
          <w:spacing w:val="-1"/>
        </w:rPr>
        <w:t xml:space="preserve"> </w:t>
      </w:r>
      <w:r>
        <w:t>that</w:t>
      </w:r>
      <w:r>
        <w:rPr>
          <w:spacing w:val="-1"/>
        </w:rPr>
        <w:t xml:space="preserve"> </w:t>
      </w:r>
      <w:r>
        <w:t>regulators</w:t>
      </w:r>
      <w:r>
        <w:rPr>
          <w:spacing w:val="-2"/>
        </w:rPr>
        <w:t xml:space="preserve"> </w:t>
      </w:r>
      <w:r>
        <w:t>should</w:t>
      </w:r>
      <w:r>
        <w:rPr>
          <w:spacing w:val="-1"/>
        </w:rPr>
        <w:t xml:space="preserve"> </w:t>
      </w:r>
      <w:r>
        <w:t>focus</w:t>
      </w:r>
      <w:r>
        <w:rPr>
          <w:spacing w:val="-1"/>
        </w:rPr>
        <w:t xml:space="preserve"> </w:t>
      </w:r>
      <w:r>
        <w:t>more</w:t>
      </w:r>
      <w:r>
        <w:rPr>
          <w:spacing w:val="-1"/>
        </w:rPr>
        <w:t xml:space="preserve"> </w:t>
      </w:r>
      <w:r>
        <w:t>on</w:t>
      </w:r>
      <w:r>
        <w:rPr>
          <w:spacing w:val="-1"/>
        </w:rPr>
        <w:t xml:space="preserve"> </w:t>
      </w:r>
      <w:r>
        <w:t>deliberational</w:t>
      </w:r>
      <w:r>
        <w:rPr>
          <w:spacing w:val="-2"/>
        </w:rPr>
        <w:t xml:space="preserve"> </w:t>
      </w:r>
      <w:r>
        <w:t>dynamics if they wish to ensure effective deliberation and the maintenance of discursive norms on the</w:t>
      </w:r>
      <w:r>
        <w:rPr>
          <w:spacing w:val="-5"/>
        </w:rPr>
        <w:t xml:space="preserve"> </w:t>
      </w:r>
      <w:r>
        <w:t>board. Second,</w:t>
      </w:r>
      <w:r>
        <w:rPr>
          <w:spacing w:val="-5"/>
        </w:rPr>
        <w:t xml:space="preserve"> </w:t>
      </w:r>
      <w:r>
        <w:t>regulators</w:t>
      </w:r>
      <w:r>
        <w:rPr>
          <w:spacing w:val="-5"/>
        </w:rPr>
        <w:t xml:space="preserve"> </w:t>
      </w:r>
      <w:r>
        <w:t>interested</w:t>
      </w:r>
      <w:r>
        <w:rPr>
          <w:spacing w:val="-5"/>
        </w:rPr>
        <w:t xml:space="preserve"> </w:t>
      </w:r>
      <w:r>
        <w:t>in</w:t>
      </w:r>
      <w:r>
        <w:rPr>
          <w:spacing w:val="-5"/>
        </w:rPr>
        <w:t xml:space="preserve"> </w:t>
      </w:r>
      <w:r>
        <w:t>ensuring</w:t>
      </w:r>
      <w:r>
        <w:rPr>
          <w:spacing w:val="-5"/>
        </w:rPr>
        <w:t xml:space="preserve"> </w:t>
      </w:r>
      <w:r>
        <w:t>demographic</w:t>
      </w:r>
      <w:r>
        <w:rPr>
          <w:spacing w:val="-5"/>
        </w:rPr>
        <w:t xml:space="preserve"> </w:t>
      </w:r>
      <w:r>
        <w:t>representation</w:t>
      </w:r>
      <w:r>
        <w:rPr>
          <w:spacing w:val="-5"/>
        </w:rPr>
        <w:t xml:space="preserve"> </w:t>
      </w:r>
      <w:r>
        <w:t>of</w:t>
      </w:r>
      <w:r>
        <w:rPr>
          <w:spacing w:val="-5"/>
        </w:rPr>
        <w:t xml:space="preserve"> </w:t>
      </w:r>
      <w:r>
        <w:t>certain</w:t>
      </w:r>
      <w:r>
        <w:rPr>
          <w:spacing w:val="-5"/>
        </w:rPr>
        <w:t xml:space="preserve"> </w:t>
      </w:r>
      <w:r>
        <w:t>groups (e.g.</w:t>
      </w:r>
      <w:r w:rsidR="003644AF">
        <w:t>,</w:t>
      </w:r>
      <w:r>
        <w:t xml:space="preserve"> geographical</w:t>
      </w:r>
      <w:r>
        <w:rPr>
          <w:spacing w:val="-5"/>
        </w:rPr>
        <w:t xml:space="preserve"> </w:t>
      </w:r>
      <w:r>
        <w:t>representation</w:t>
      </w:r>
      <w:r>
        <w:rPr>
          <w:spacing w:val="-6"/>
        </w:rPr>
        <w:t xml:space="preserve"> </w:t>
      </w:r>
      <w:r>
        <w:t>in</w:t>
      </w:r>
      <w:r>
        <w:rPr>
          <w:spacing w:val="-5"/>
        </w:rPr>
        <w:t xml:space="preserve"> </w:t>
      </w:r>
      <w:r>
        <w:t>the</w:t>
      </w:r>
      <w:r>
        <w:rPr>
          <w:spacing w:val="-6"/>
        </w:rPr>
        <w:t xml:space="preserve"> </w:t>
      </w:r>
      <w:r>
        <w:t>case</w:t>
      </w:r>
      <w:r>
        <w:rPr>
          <w:spacing w:val="-5"/>
        </w:rPr>
        <w:t xml:space="preserve"> </w:t>
      </w:r>
      <w:r>
        <w:t>of</w:t>
      </w:r>
      <w:r>
        <w:rPr>
          <w:spacing w:val="-5"/>
        </w:rPr>
        <w:t xml:space="preserve"> </w:t>
      </w:r>
      <w:r>
        <w:t>the</w:t>
      </w:r>
      <w:r>
        <w:rPr>
          <w:spacing w:val="-6"/>
        </w:rPr>
        <w:t xml:space="preserve"> </w:t>
      </w:r>
      <w:r>
        <w:t>IASB)</w:t>
      </w:r>
      <w:r>
        <w:rPr>
          <w:spacing w:val="-5"/>
        </w:rPr>
        <w:t xml:space="preserve"> </w:t>
      </w:r>
      <w:r>
        <w:t>should</w:t>
      </w:r>
      <w:r>
        <w:rPr>
          <w:spacing w:val="-5"/>
        </w:rPr>
        <w:t xml:space="preserve"> </w:t>
      </w:r>
      <w:r>
        <w:t>be</w:t>
      </w:r>
      <w:r>
        <w:rPr>
          <w:spacing w:val="-6"/>
        </w:rPr>
        <w:t xml:space="preserve"> </w:t>
      </w:r>
      <w:r>
        <w:t>aware</w:t>
      </w:r>
      <w:r>
        <w:rPr>
          <w:spacing w:val="-5"/>
        </w:rPr>
        <w:t xml:space="preserve"> </w:t>
      </w:r>
      <w:r>
        <w:t>that</w:t>
      </w:r>
      <w:r>
        <w:rPr>
          <w:spacing w:val="-5"/>
        </w:rPr>
        <w:t xml:space="preserve"> </w:t>
      </w:r>
      <w:r>
        <w:t>appropriate</w:t>
      </w:r>
      <w:r>
        <w:rPr>
          <w:spacing w:val="-6"/>
        </w:rPr>
        <w:t xml:space="preserve"> </w:t>
      </w:r>
      <w:r>
        <w:t>demographic representation may not translate into the expected degree of political power.</w:t>
      </w:r>
      <w:r>
        <w:rPr>
          <w:spacing w:val="39"/>
        </w:rPr>
        <w:t xml:space="preserve"> </w:t>
      </w:r>
      <w:r>
        <w:t>Finally, the agent-based</w:t>
      </w:r>
      <w:r>
        <w:rPr>
          <w:spacing w:val="-8"/>
        </w:rPr>
        <w:t xml:space="preserve"> </w:t>
      </w:r>
      <w:r>
        <w:t>model</w:t>
      </w:r>
      <w:r>
        <w:rPr>
          <w:spacing w:val="-8"/>
        </w:rPr>
        <w:t xml:space="preserve"> </w:t>
      </w:r>
      <w:r>
        <w:t>does</w:t>
      </w:r>
      <w:r>
        <w:rPr>
          <w:spacing w:val="-8"/>
        </w:rPr>
        <w:t xml:space="preserve"> </w:t>
      </w:r>
      <w:r>
        <w:t>not</w:t>
      </w:r>
      <w:r>
        <w:rPr>
          <w:spacing w:val="-8"/>
        </w:rPr>
        <w:t xml:space="preserve"> </w:t>
      </w:r>
      <w:r>
        <w:t>make</w:t>
      </w:r>
      <w:r>
        <w:rPr>
          <w:spacing w:val="-8"/>
        </w:rPr>
        <w:t xml:space="preserve"> </w:t>
      </w:r>
      <w:r>
        <w:t>any</w:t>
      </w:r>
      <w:r>
        <w:rPr>
          <w:spacing w:val="-8"/>
        </w:rPr>
        <w:t xml:space="preserve"> </w:t>
      </w:r>
      <w:r>
        <w:t>assumptions</w:t>
      </w:r>
      <w:r>
        <w:rPr>
          <w:spacing w:val="-8"/>
        </w:rPr>
        <w:t xml:space="preserve"> </w:t>
      </w:r>
      <w:r>
        <w:t>about</w:t>
      </w:r>
      <w:r>
        <w:rPr>
          <w:spacing w:val="-8"/>
        </w:rPr>
        <w:t xml:space="preserve"> </w:t>
      </w:r>
      <w:r>
        <w:rPr>
          <w:i/>
        </w:rPr>
        <w:t>how</w:t>
      </w:r>
      <w:r>
        <w:rPr>
          <w:i/>
          <w:spacing w:val="-8"/>
        </w:rPr>
        <w:t xml:space="preserve"> </w:t>
      </w:r>
      <w:r>
        <w:t>the</w:t>
      </w:r>
      <w:r>
        <w:rPr>
          <w:spacing w:val="-8"/>
        </w:rPr>
        <w:t xml:space="preserve"> </w:t>
      </w:r>
      <w:r>
        <w:t>smaller</w:t>
      </w:r>
      <w:r>
        <w:rPr>
          <w:spacing w:val="-8"/>
        </w:rPr>
        <w:t xml:space="preserve"> </w:t>
      </w:r>
      <w:r>
        <w:t>subgroup</w:t>
      </w:r>
      <w:r>
        <w:rPr>
          <w:spacing w:val="-8"/>
        </w:rPr>
        <w:t xml:space="preserve"> </w:t>
      </w:r>
      <w:r>
        <w:t>is</w:t>
      </w:r>
      <w:r>
        <w:rPr>
          <w:spacing w:val="-8"/>
        </w:rPr>
        <w:t xml:space="preserve"> </w:t>
      </w:r>
      <w:r>
        <w:t>constituted. Given that political alignments continually form and dissipate,</w:t>
      </w:r>
      <w:r w:rsidR="00A92ED3">
        <w:t xml:space="preserve"> </w:t>
      </w:r>
      <w:r w:rsidR="008A7575">
        <w:t xml:space="preserve">the </w:t>
      </w:r>
      <w:r w:rsidR="003A53AD">
        <w:t>on-going</w:t>
      </w:r>
      <w:r>
        <w:t xml:space="preserve"> </w:t>
      </w:r>
      <w:r w:rsidR="006141C5">
        <w:rPr>
          <w:spacing w:val="-2"/>
        </w:rPr>
        <w:t>scrutin</w:t>
      </w:r>
      <w:r w:rsidR="003A53AD">
        <w:rPr>
          <w:spacing w:val="-2"/>
        </w:rPr>
        <w:t>y of</w:t>
      </w:r>
      <w:r w:rsidR="006141C5">
        <w:rPr>
          <w:spacing w:val="-2"/>
        </w:rPr>
        <w:t xml:space="preserve"> </w:t>
      </w:r>
      <w:r w:rsidR="006141C5">
        <w:t>the deliberative dynamics of board decision-making</w:t>
      </w:r>
      <w:r w:rsidR="003A53AD">
        <w:t xml:space="preserve"> </w:t>
      </w:r>
      <w:r w:rsidR="0063751B">
        <w:t>is</w:t>
      </w:r>
      <w:r w:rsidR="008A7575">
        <w:t xml:space="preserve"> a necessary</w:t>
      </w:r>
      <w:r w:rsidR="00F8646C">
        <w:t xml:space="preserve"> component </w:t>
      </w:r>
      <w:r w:rsidR="007E1D04">
        <w:t xml:space="preserve">of board effectiveness regulation. </w:t>
      </w:r>
      <w:r w:rsidR="00B50756">
        <w:t xml:space="preserve"> </w:t>
      </w:r>
    </w:p>
    <w:p w14:paraId="138F57A9" w14:textId="419CDB9E" w:rsidR="008D6B0A" w:rsidRDefault="008D6B0A">
      <w:pPr>
        <w:rPr>
          <w:sz w:val="24"/>
        </w:rPr>
      </w:pPr>
    </w:p>
    <w:p w14:paraId="39A201A2" w14:textId="0D6FD82A" w:rsidR="00EE5634" w:rsidRDefault="00EE5634">
      <w:pPr>
        <w:rPr>
          <w:sz w:val="24"/>
        </w:rPr>
      </w:pPr>
    </w:p>
    <w:p w14:paraId="16C47BAF" w14:textId="0AC99370" w:rsidR="005C7FA7" w:rsidRDefault="005C7FA7">
      <w:pPr>
        <w:rPr>
          <w:sz w:val="24"/>
        </w:rPr>
      </w:pPr>
    </w:p>
    <w:p w14:paraId="7229DF44" w14:textId="4B671AA7" w:rsidR="005C7FA7" w:rsidRDefault="005C7FA7">
      <w:pPr>
        <w:rPr>
          <w:sz w:val="24"/>
        </w:rPr>
      </w:pPr>
    </w:p>
    <w:p w14:paraId="4D7668AF" w14:textId="529AF09E" w:rsidR="005C7FA7" w:rsidRDefault="005C7FA7">
      <w:pPr>
        <w:rPr>
          <w:sz w:val="24"/>
        </w:rPr>
      </w:pPr>
    </w:p>
    <w:p w14:paraId="1D0DBE95" w14:textId="33552429" w:rsidR="005C7FA7" w:rsidRDefault="005C7FA7">
      <w:pPr>
        <w:rPr>
          <w:sz w:val="24"/>
        </w:rPr>
      </w:pPr>
    </w:p>
    <w:p w14:paraId="6458FE0D" w14:textId="77777777" w:rsidR="005C7FA7" w:rsidRDefault="005C7FA7">
      <w:pPr>
        <w:rPr>
          <w:sz w:val="24"/>
        </w:rPr>
      </w:pPr>
    </w:p>
    <w:p w14:paraId="3E2E8FDE" w14:textId="77777777" w:rsidR="00EE5634" w:rsidRDefault="00EE5634" w:rsidP="008D6B0A">
      <w:pPr>
        <w:rPr>
          <w:sz w:val="24"/>
        </w:rPr>
      </w:pPr>
    </w:p>
    <w:p w14:paraId="4A968FF9" w14:textId="76191296" w:rsidR="00185398" w:rsidRPr="00B4083A" w:rsidRDefault="008D6B0A" w:rsidP="008D6B0A">
      <w:pPr>
        <w:rPr>
          <w:sz w:val="24"/>
        </w:rPr>
      </w:pPr>
      <w:r>
        <w:rPr>
          <w:sz w:val="24"/>
        </w:rPr>
        <w:lastRenderedPageBreak/>
        <w:t>Table 1: Simulation results</w:t>
      </w:r>
      <w:r w:rsidR="004618A0">
        <w:rPr>
          <w:sz w:val="24"/>
        </w:rPr>
        <w:t xml:space="preserve">. Red, yellow and green represent how frequently a </w:t>
      </w:r>
      <w:r w:rsidR="004618A0">
        <w:rPr>
          <w:i/>
          <w:iCs/>
          <w:sz w:val="24"/>
        </w:rPr>
        <w:t>Pro</w:t>
      </w:r>
      <w:r w:rsidR="004618A0">
        <w:rPr>
          <w:i/>
          <w:iCs/>
          <w:sz w:val="24"/>
        </w:rPr>
        <w:softHyphen/>
        <w:t>-</w:t>
      </w:r>
      <w:r w:rsidR="004618A0">
        <w:rPr>
          <w:sz w:val="24"/>
        </w:rPr>
        <w:t>vote wins, showing the extent of influence by the smaller subgroup.</w:t>
      </w:r>
      <w:r w:rsidR="00B4083A">
        <w:rPr>
          <w:sz w:val="24"/>
        </w:rPr>
        <w:t xml:space="preserve"> </w:t>
      </w:r>
    </w:p>
    <w:tbl>
      <w:tblPr>
        <w:tblStyle w:val="TableGrid"/>
        <w:tblW w:w="9836" w:type="dxa"/>
        <w:tblLook w:val="04A0" w:firstRow="1" w:lastRow="0" w:firstColumn="1" w:lastColumn="0" w:noHBand="0" w:noVBand="1"/>
      </w:tblPr>
      <w:tblGrid>
        <w:gridCol w:w="2520"/>
        <w:gridCol w:w="2520"/>
        <w:gridCol w:w="2520"/>
        <w:gridCol w:w="2520"/>
      </w:tblGrid>
      <w:tr w:rsidR="00D40FF9" w14:paraId="614BE31E" w14:textId="77777777" w:rsidTr="00D9413A">
        <w:trPr>
          <w:trHeight w:val="3212"/>
        </w:trPr>
        <w:tc>
          <w:tcPr>
            <w:tcW w:w="2459" w:type="dxa"/>
            <w:tcBorders>
              <w:top w:val="nil"/>
              <w:left w:val="nil"/>
              <w:bottom w:val="nil"/>
              <w:right w:val="nil"/>
            </w:tcBorders>
          </w:tcPr>
          <w:p w14:paraId="2E5C0730" w14:textId="77777777" w:rsidR="00D40FF9" w:rsidRDefault="00D40FF9" w:rsidP="00D40FF9">
            <w:pPr>
              <w:rPr>
                <w:sz w:val="24"/>
              </w:rPr>
            </w:pPr>
            <w:r>
              <w:rPr>
                <w:noProof/>
                <w:sz w:val="24"/>
              </w:rPr>
              <w:drawing>
                <wp:inline distT="0" distB="0" distL="0" distR="0" wp14:anchorId="606EAC27" wp14:editId="10CF47EF">
                  <wp:extent cx="1463040" cy="1924242"/>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8">
                            <a:extLst>
                              <a:ext uri="{28A0092B-C50C-407E-A947-70E740481C1C}">
                                <a14:useLocalDpi xmlns:a14="http://schemas.microsoft.com/office/drawing/2010/main" val="0"/>
                              </a:ext>
                            </a:extLst>
                          </a:blip>
                          <a:stretch>
                            <a:fillRect/>
                          </a:stretch>
                        </pic:blipFill>
                        <pic:spPr>
                          <a:xfrm>
                            <a:off x="0" y="0"/>
                            <a:ext cx="1463040" cy="1924242"/>
                          </a:xfrm>
                          <a:prstGeom prst="rect">
                            <a:avLst/>
                          </a:prstGeom>
                        </pic:spPr>
                      </pic:pic>
                    </a:graphicData>
                  </a:graphic>
                </wp:inline>
              </w:drawing>
            </w:r>
          </w:p>
        </w:tc>
        <w:tc>
          <w:tcPr>
            <w:tcW w:w="2459" w:type="dxa"/>
            <w:tcBorders>
              <w:top w:val="nil"/>
              <w:left w:val="nil"/>
              <w:bottom w:val="nil"/>
              <w:right w:val="nil"/>
            </w:tcBorders>
          </w:tcPr>
          <w:p w14:paraId="1B8C905C" w14:textId="77777777" w:rsidR="00D40FF9" w:rsidRDefault="00D40FF9" w:rsidP="00D40FF9">
            <w:pPr>
              <w:rPr>
                <w:sz w:val="24"/>
              </w:rPr>
            </w:pPr>
            <w:r>
              <w:rPr>
                <w:noProof/>
                <w:sz w:val="24"/>
              </w:rPr>
              <w:drawing>
                <wp:inline distT="0" distB="0" distL="0" distR="0" wp14:anchorId="7B0767A6" wp14:editId="6620449D">
                  <wp:extent cx="1463040" cy="1925053"/>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9">
                            <a:extLst>
                              <a:ext uri="{28A0092B-C50C-407E-A947-70E740481C1C}">
                                <a14:useLocalDpi xmlns:a14="http://schemas.microsoft.com/office/drawing/2010/main" val="0"/>
                              </a:ext>
                            </a:extLst>
                          </a:blip>
                          <a:stretch>
                            <a:fillRect/>
                          </a:stretch>
                        </pic:blipFill>
                        <pic:spPr>
                          <a:xfrm>
                            <a:off x="0" y="0"/>
                            <a:ext cx="1463040" cy="1925053"/>
                          </a:xfrm>
                          <a:prstGeom prst="rect">
                            <a:avLst/>
                          </a:prstGeom>
                        </pic:spPr>
                      </pic:pic>
                    </a:graphicData>
                  </a:graphic>
                </wp:inline>
              </w:drawing>
            </w:r>
          </w:p>
        </w:tc>
        <w:tc>
          <w:tcPr>
            <w:tcW w:w="2459" w:type="dxa"/>
            <w:tcBorders>
              <w:top w:val="nil"/>
              <w:left w:val="nil"/>
              <w:bottom w:val="nil"/>
              <w:right w:val="nil"/>
            </w:tcBorders>
          </w:tcPr>
          <w:p w14:paraId="7A8ADDAE" w14:textId="77777777" w:rsidR="00D40FF9" w:rsidRDefault="00D40FF9" w:rsidP="00D40FF9">
            <w:pPr>
              <w:rPr>
                <w:sz w:val="24"/>
              </w:rPr>
            </w:pPr>
            <w:r>
              <w:rPr>
                <w:noProof/>
                <w:sz w:val="24"/>
              </w:rPr>
              <w:drawing>
                <wp:inline distT="0" distB="0" distL="0" distR="0" wp14:anchorId="7EF517DE" wp14:editId="1BA1A1E0">
                  <wp:extent cx="1463040" cy="1925053"/>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0">
                            <a:extLst>
                              <a:ext uri="{28A0092B-C50C-407E-A947-70E740481C1C}">
                                <a14:useLocalDpi xmlns:a14="http://schemas.microsoft.com/office/drawing/2010/main" val="0"/>
                              </a:ext>
                            </a:extLst>
                          </a:blip>
                          <a:stretch>
                            <a:fillRect/>
                          </a:stretch>
                        </pic:blipFill>
                        <pic:spPr>
                          <a:xfrm>
                            <a:off x="0" y="0"/>
                            <a:ext cx="1463040" cy="1925053"/>
                          </a:xfrm>
                          <a:prstGeom prst="rect">
                            <a:avLst/>
                          </a:prstGeom>
                        </pic:spPr>
                      </pic:pic>
                    </a:graphicData>
                  </a:graphic>
                </wp:inline>
              </w:drawing>
            </w:r>
          </w:p>
        </w:tc>
        <w:tc>
          <w:tcPr>
            <w:tcW w:w="2459" w:type="dxa"/>
            <w:tcBorders>
              <w:top w:val="nil"/>
              <w:left w:val="nil"/>
              <w:bottom w:val="nil"/>
              <w:right w:val="nil"/>
            </w:tcBorders>
          </w:tcPr>
          <w:p w14:paraId="3C674842" w14:textId="77777777" w:rsidR="00D40FF9" w:rsidRDefault="00EE4106" w:rsidP="00D40FF9">
            <w:pPr>
              <w:rPr>
                <w:sz w:val="24"/>
              </w:rPr>
            </w:pPr>
            <w:r>
              <w:rPr>
                <w:noProof/>
                <w:sz w:val="24"/>
              </w:rPr>
              <w:drawing>
                <wp:inline distT="0" distB="0" distL="0" distR="0" wp14:anchorId="22CBDC87" wp14:editId="01D7EBD5">
                  <wp:extent cx="1463040" cy="1925053"/>
                  <wp:effectExtent l="0" t="0" r="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1">
                            <a:extLst>
                              <a:ext uri="{28A0092B-C50C-407E-A947-70E740481C1C}">
                                <a14:useLocalDpi xmlns:a14="http://schemas.microsoft.com/office/drawing/2010/main" val="0"/>
                              </a:ext>
                            </a:extLst>
                          </a:blip>
                          <a:stretch>
                            <a:fillRect/>
                          </a:stretch>
                        </pic:blipFill>
                        <pic:spPr>
                          <a:xfrm>
                            <a:off x="0" y="0"/>
                            <a:ext cx="1463040" cy="1925053"/>
                          </a:xfrm>
                          <a:prstGeom prst="rect">
                            <a:avLst/>
                          </a:prstGeom>
                        </pic:spPr>
                      </pic:pic>
                    </a:graphicData>
                  </a:graphic>
                </wp:inline>
              </w:drawing>
            </w:r>
          </w:p>
        </w:tc>
      </w:tr>
      <w:tr w:rsidR="00D40FF9" w14:paraId="4411CADC" w14:textId="77777777" w:rsidTr="00B22614">
        <w:trPr>
          <w:trHeight w:val="294"/>
        </w:trPr>
        <w:tc>
          <w:tcPr>
            <w:tcW w:w="2459" w:type="dxa"/>
            <w:tcBorders>
              <w:top w:val="nil"/>
              <w:left w:val="nil"/>
              <w:bottom w:val="nil"/>
              <w:right w:val="nil"/>
            </w:tcBorders>
          </w:tcPr>
          <w:p w14:paraId="3754D941" w14:textId="77777777" w:rsidR="00D40FF9" w:rsidRPr="00DF20EA" w:rsidRDefault="00D40FF9" w:rsidP="00DF20EA">
            <w:pPr>
              <w:jc w:val="center"/>
              <w:rPr>
                <w:sz w:val="20"/>
                <w:szCs w:val="20"/>
              </w:rPr>
            </w:pPr>
            <w:r w:rsidRPr="00DF20EA">
              <w:rPr>
                <w:sz w:val="20"/>
                <w:szCs w:val="20"/>
              </w:rPr>
              <w:t>(a)</w:t>
            </w:r>
            <w:r w:rsidR="00DF20EA">
              <w:rPr>
                <w:sz w:val="20"/>
                <w:szCs w:val="20"/>
              </w:rPr>
              <w:t xml:space="preserv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=12</m:t>
              </m:r>
            </m:oMath>
            <w:r w:rsidRPr="00DF20EA">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=2</m:t>
              </m:r>
            </m:oMath>
            <w:r w:rsidRPr="00DF20EA">
              <w:rPr>
                <w:sz w:val="20"/>
                <w:szCs w:val="20"/>
              </w:rPr>
              <w:t>.</w:t>
            </w:r>
          </w:p>
        </w:tc>
        <w:tc>
          <w:tcPr>
            <w:tcW w:w="2459" w:type="dxa"/>
            <w:tcBorders>
              <w:top w:val="nil"/>
              <w:left w:val="nil"/>
              <w:bottom w:val="nil"/>
              <w:right w:val="nil"/>
            </w:tcBorders>
          </w:tcPr>
          <w:p w14:paraId="4D1F66E8" w14:textId="77777777" w:rsidR="00D40FF9" w:rsidRPr="00DF20EA" w:rsidRDefault="00D40FF9" w:rsidP="00DF20EA">
            <w:pPr>
              <w:jc w:val="center"/>
              <w:rPr>
                <w:sz w:val="20"/>
                <w:szCs w:val="20"/>
              </w:rPr>
            </w:pPr>
            <w:r w:rsidRPr="00DF20EA">
              <w:rPr>
                <w:sz w:val="20"/>
                <w:szCs w:val="20"/>
              </w:rPr>
              <w:t>(</w:t>
            </w:r>
            <w:r w:rsidR="00DF20EA">
              <w:rPr>
                <w:sz w:val="20"/>
                <w:szCs w:val="20"/>
              </w:rPr>
              <w:t>b</w:t>
            </w:r>
            <w:r w:rsidRPr="00DF20EA">
              <w:rPr>
                <w:sz w:val="20"/>
                <w:szCs w:val="20"/>
              </w:rPr>
              <w:t>)</w:t>
            </w:r>
            <w:r w:rsidR="00DF20EA">
              <w:rPr>
                <w:sz w:val="20"/>
                <w:szCs w:val="20"/>
              </w:rPr>
              <w:t xml:space="preserv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=11</m:t>
              </m:r>
            </m:oMath>
            <w:r w:rsidRPr="00DF20EA">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=3</m:t>
              </m:r>
            </m:oMath>
            <w:r w:rsidRPr="00DF20EA">
              <w:rPr>
                <w:sz w:val="20"/>
                <w:szCs w:val="20"/>
              </w:rPr>
              <w:t>.</w:t>
            </w:r>
          </w:p>
        </w:tc>
        <w:tc>
          <w:tcPr>
            <w:tcW w:w="2459" w:type="dxa"/>
            <w:tcBorders>
              <w:top w:val="nil"/>
              <w:left w:val="nil"/>
              <w:bottom w:val="nil"/>
              <w:right w:val="nil"/>
            </w:tcBorders>
          </w:tcPr>
          <w:p w14:paraId="48BBB962" w14:textId="77777777" w:rsidR="00D40FF9" w:rsidRPr="00DF20EA" w:rsidRDefault="00D40FF9" w:rsidP="00DF20EA">
            <w:pPr>
              <w:jc w:val="center"/>
              <w:rPr>
                <w:sz w:val="20"/>
                <w:szCs w:val="20"/>
              </w:rPr>
            </w:pPr>
            <w:r w:rsidRPr="00DF20EA">
              <w:rPr>
                <w:sz w:val="20"/>
                <w:szCs w:val="20"/>
              </w:rPr>
              <w:t>(</w:t>
            </w:r>
            <w:r w:rsidR="00DF20EA">
              <w:rPr>
                <w:sz w:val="20"/>
                <w:szCs w:val="20"/>
              </w:rPr>
              <w:t>c</w:t>
            </w:r>
            <w:r w:rsidRPr="00DF20EA">
              <w:rPr>
                <w:sz w:val="20"/>
                <w:szCs w:val="20"/>
              </w:rPr>
              <w:t>)</w:t>
            </w:r>
            <w:r w:rsidR="00DF20EA">
              <w:rPr>
                <w:sz w:val="20"/>
                <w:szCs w:val="20"/>
              </w:rPr>
              <w:t xml:space="preserv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=10</m:t>
              </m:r>
            </m:oMath>
            <w:r w:rsidRPr="00DF20EA">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=4</m:t>
              </m:r>
            </m:oMath>
            <w:r w:rsidRPr="00DF20EA">
              <w:rPr>
                <w:sz w:val="20"/>
                <w:szCs w:val="20"/>
              </w:rPr>
              <w:t>.</w:t>
            </w:r>
          </w:p>
        </w:tc>
        <w:tc>
          <w:tcPr>
            <w:tcW w:w="2459" w:type="dxa"/>
            <w:tcBorders>
              <w:top w:val="nil"/>
              <w:left w:val="nil"/>
              <w:bottom w:val="nil"/>
              <w:right w:val="nil"/>
            </w:tcBorders>
          </w:tcPr>
          <w:p w14:paraId="64C3BC0A" w14:textId="77777777" w:rsidR="00D40FF9" w:rsidRPr="00DF20EA" w:rsidRDefault="00D40FF9" w:rsidP="00DF20EA">
            <w:pPr>
              <w:jc w:val="center"/>
              <w:rPr>
                <w:sz w:val="20"/>
                <w:szCs w:val="20"/>
              </w:rPr>
            </w:pPr>
            <w:r w:rsidRPr="00DF20EA">
              <w:rPr>
                <w:sz w:val="20"/>
                <w:szCs w:val="20"/>
              </w:rPr>
              <w:t>(</w:t>
            </w:r>
            <w:r w:rsidR="00DF20EA">
              <w:rPr>
                <w:sz w:val="20"/>
                <w:szCs w:val="20"/>
              </w:rPr>
              <w:t>d</w:t>
            </w:r>
            <w:r w:rsidRPr="00DF20EA">
              <w:rPr>
                <w:sz w:val="20"/>
                <w:szCs w:val="20"/>
              </w:rPr>
              <w:t>)</w:t>
            </w:r>
            <w:r w:rsidR="00DF20EA">
              <w:rPr>
                <w:sz w:val="20"/>
                <w:szCs w:val="20"/>
              </w:rPr>
              <w:t xml:space="preserv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r>
                <w:rPr>
                  <w:rFonts w:ascii="Cambria Math" w:hAnsi="Cambria Math"/>
                  <w:sz w:val="20"/>
                  <w:szCs w:val="20"/>
                </w:rPr>
                <m:t>=9</m:t>
              </m:r>
            </m:oMath>
            <w:r w:rsidRPr="00DF20EA">
              <w:rPr>
                <w:sz w:val="20"/>
                <w:szCs w:val="20"/>
              </w:rPr>
              <w:t xml:space="preserve"> and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=5</m:t>
              </m:r>
            </m:oMath>
            <w:r w:rsidRPr="00DF20EA">
              <w:rPr>
                <w:sz w:val="20"/>
                <w:szCs w:val="20"/>
              </w:rPr>
              <w:t>.</w:t>
            </w:r>
          </w:p>
        </w:tc>
      </w:tr>
    </w:tbl>
    <w:p w14:paraId="79A04418" w14:textId="77777777" w:rsidR="00221DA0" w:rsidRDefault="00D40FF9">
      <w:pPr>
        <w:rPr>
          <w:sz w:val="24"/>
        </w:rPr>
      </w:pPr>
      <w:r>
        <w:rPr>
          <w:sz w:val="24"/>
        </w:rPr>
        <w:t xml:space="preserve"> </w:t>
      </w:r>
    </w:p>
    <w:p w14:paraId="7553CDF3" w14:textId="64EEEBEC" w:rsidR="00DC7EC3" w:rsidRDefault="008D6B0A">
      <w:pPr>
        <w:rPr>
          <w:sz w:val="24"/>
        </w:rPr>
      </w:pPr>
      <w:r>
        <w:rPr>
          <w:sz w:val="24"/>
        </w:rPr>
        <w:t>Table 2: Differences in conversation style between the subgroup and other board members, in particular the use of powerful speech style and violations of deliberation norms.</w:t>
      </w:r>
    </w:p>
    <w:p w14:paraId="2B10DB9D" w14:textId="77777777" w:rsidR="00F12D23" w:rsidRDefault="00F12D23">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2394"/>
        <w:gridCol w:w="2402"/>
        <w:gridCol w:w="2399"/>
      </w:tblGrid>
      <w:tr w:rsidR="00342D0F" w14:paraId="1824CDC8" w14:textId="77777777" w:rsidTr="00342D0F">
        <w:tc>
          <w:tcPr>
            <w:tcW w:w="2454" w:type="dxa"/>
          </w:tcPr>
          <w:p w14:paraId="40C5E516" w14:textId="77777777" w:rsidR="00342D0F" w:rsidRDefault="00342D0F" w:rsidP="00342D0F">
            <w:pPr>
              <w:rPr>
                <w:sz w:val="24"/>
              </w:rPr>
            </w:pPr>
          </w:p>
        </w:tc>
        <w:tc>
          <w:tcPr>
            <w:tcW w:w="4908" w:type="dxa"/>
            <w:gridSpan w:val="2"/>
            <w:tcBorders>
              <w:bottom w:val="single" w:sz="12" w:space="0" w:color="auto"/>
            </w:tcBorders>
          </w:tcPr>
          <w:p w14:paraId="02F248AC" w14:textId="77777777" w:rsidR="00342D0F" w:rsidRDefault="00342D0F" w:rsidP="00697494">
            <w:pPr>
              <w:spacing w:after="60"/>
              <w:jc w:val="center"/>
              <w:rPr>
                <w:sz w:val="24"/>
              </w:rPr>
            </w:pPr>
            <w:r>
              <w:rPr>
                <w:sz w:val="24"/>
              </w:rPr>
              <w:t>Violation of deliberation norms</w:t>
            </w:r>
          </w:p>
        </w:tc>
        <w:tc>
          <w:tcPr>
            <w:tcW w:w="2454" w:type="dxa"/>
            <w:tcBorders>
              <w:bottom w:val="single" w:sz="12" w:space="0" w:color="auto"/>
            </w:tcBorders>
          </w:tcPr>
          <w:p w14:paraId="23DAB37F" w14:textId="77777777" w:rsidR="00342D0F" w:rsidRDefault="00342D0F" w:rsidP="00342D0F">
            <w:pPr>
              <w:jc w:val="center"/>
              <w:rPr>
                <w:sz w:val="24"/>
              </w:rPr>
            </w:pPr>
            <w:r>
              <w:rPr>
                <w:sz w:val="24"/>
              </w:rPr>
              <w:t>Rhetorical strength</w:t>
            </w:r>
          </w:p>
        </w:tc>
      </w:tr>
      <w:tr w:rsidR="00342D0F" w14:paraId="706CA3C4" w14:textId="77777777" w:rsidTr="00342D0F">
        <w:tc>
          <w:tcPr>
            <w:tcW w:w="2454" w:type="dxa"/>
            <w:tcBorders>
              <w:bottom w:val="single" w:sz="8" w:space="0" w:color="7F7F7F" w:themeColor="text1" w:themeTint="80"/>
            </w:tcBorders>
          </w:tcPr>
          <w:p w14:paraId="56F73670" w14:textId="77777777" w:rsidR="00342D0F" w:rsidRDefault="00342D0F" w:rsidP="00342D0F">
            <w:pPr>
              <w:rPr>
                <w:sz w:val="24"/>
              </w:rPr>
            </w:pPr>
          </w:p>
        </w:tc>
        <w:tc>
          <w:tcPr>
            <w:tcW w:w="2454" w:type="dxa"/>
            <w:tcBorders>
              <w:top w:val="single" w:sz="12" w:space="0" w:color="auto"/>
              <w:bottom w:val="single" w:sz="8" w:space="0" w:color="7F7F7F" w:themeColor="text1" w:themeTint="80"/>
            </w:tcBorders>
          </w:tcPr>
          <w:p w14:paraId="64F05D26" w14:textId="77777777" w:rsidR="00342D0F" w:rsidRDefault="00342D0F" w:rsidP="00342D0F">
            <w:pPr>
              <w:rPr>
                <w:sz w:val="24"/>
              </w:rPr>
            </w:pPr>
            <w:r>
              <w:rPr>
                <w:sz w:val="24"/>
              </w:rPr>
              <w:t>Violating turn-taking</w:t>
            </w:r>
          </w:p>
        </w:tc>
        <w:tc>
          <w:tcPr>
            <w:tcW w:w="2454" w:type="dxa"/>
            <w:tcBorders>
              <w:top w:val="single" w:sz="12" w:space="0" w:color="auto"/>
              <w:bottom w:val="single" w:sz="8" w:space="0" w:color="7F7F7F" w:themeColor="text1" w:themeTint="80"/>
            </w:tcBorders>
          </w:tcPr>
          <w:p w14:paraId="74325B4F" w14:textId="77777777" w:rsidR="00342D0F" w:rsidRDefault="00342D0F" w:rsidP="00697494">
            <w:pPr>
              <w:spacing w:after="60"/>
              <w:rPr>
                <w:sz w:val="24"/>
              </w:rPr>
            </w:pPr>
            <w:r>
              <w:rPr>
                <w:sz w:val="24"/>
              </w:rPr>
              <w:t>Supporting own group</w:t>
            </w:r>
          </w:p>
        </w:tc>
        <w:tc>
          <w:tcPr>
            <w:tcW w:w="2454" w:type="dxa"/>
            <w:tcBorders>
              <w:top w:val="single" w:sz="12" w:space="0" w:color="auto"/>
              <w:bottom w:val="single" w:sz="8" w:space="0" w:color="7F7F7F" w:themeColor="text1" w:themeTint="80"/>
            </w:tcBorders>
          </w:tcPr>
          <w:p w14:paraId="4AE5E41A" w14:textId="77777777" w:rsidR="00342D0F" w:rsidRDefault="00342D0F" w:rsidP="00342D0F">
            <w:pPr>
              <w:rPr>
                <w:sz w:val="24"/>
              </w:rPr>
            </w:pPr>
          </w:p>
        </w:tc>
      </w:tr>
      <w:tr w:rsidR="00342D0F" w14:paraId="11220B6A" w14:textId="77777777" w:rsidTr="00342D0F">
        <w:tc>
          <w:tcPr>
            <w:tcW w:w="2454" w:type="dxa"/>
            <w:tcBorders>
              <w:top w:val="single" w:sz="8" w:space="0" w:color="7F7F7F" w:themeColor="text1" w:themeTint="80"/>
            </w:tcBorders>
          </w:tcPr>
          <w:p w14:paraId="12D38CBE" w14:textId="77777777" w:rsidR="00342D0F" w:rsidRDefault="00342D0F" w:rsidP="00342D0F">
            <w:pPr>
              <w:rPr>
                <w:sz w:val="24"/>
              </w:rPr>
            </w:pPr>
            <w:r>
              <w:rPr>
                <w:sz w:val="24"/>
              </w:rPr>
              <w:t>Subgroup</w:t>
            </w:r>
          </w:p>
        </w:tc>
        <w:tc>
          <w:tcPr>
            <w:tcW w:w="2454" w:type="dxa"/>
            <w:tcBorders>
              <w:top w:val="single" w:sz="8" w:space="0" w:color="7F7F7F" w:themeColor="text1" w:themeTint="80"/>
            </w:tcBorders>
          </w:tcPr>
          <w:p w14:paraId="58CB1649" w14:textId="77777777" w:rsidR="00342D0F" w:rsidRDefault="00342D0F" w:rsidP="00342D0F">
            <w:pPr>
              <w:jc w:val="right"/>
              <w:rPr>
                <w:sz w:val="24"/>
              </w:rPr>
            </w:pPr>
            <w:r>
              <w:rPr>
                <w:sz w:val="24"/>
              </w:rPr>
              <w:t>4</w:t>
            </w:r>
          </w:p>
        </w:tc>
        <w:tc>
          <w:tcPr>
            <w:tcW w:w="2454" w:type="dxa"/>
            <w:tcBorders>
              <w:top w:val="single" w:sz="8" w:space="0" w:color="7F7F7F" w:themeColor="text1" w:themeTint="80"/>
            </w:tcBorders>
          </w:tcPr>
          <w:p w14:paraId="0222D061" w14:textId="77777777" w:rsidR="00342D0F" w:rsidRDefault="00342D0F" w:rsidP="00342D0F">
            <w:pPr>
              <w:jc w:val="right"/>
              <w:rPr>
                <w:sz w:val="24"/>
              </w:rPr>
            </w:pPr>
            <w:r>
              <w:rPr>
                <w:sz w:val="24"/>
              </w:rPr>
              <w:t>59</w:t>
            </w:r>
          </w:p>
        </w:tc>
        <w:tc>
          <w:tcPr>
            <w:tcW w:w="2454" w:type="dxa"/>
            <w:tcBorders>
              <w:top w:val="single" w:sz="8" w:space="0" w:color="7F7F7F" w:themeColor="text1" w:themeTint="80"/>
            </w:tcBorders>
          </w:tcPr>
          <w:p w14:paraId="0CA0D542" w14:textId="77777777" w:rsidR="00342D0F" w:rsidRDefault="00342D0F" w:rsidP="00342D0F">
            <w:pPr>
              <w:jc w:val="right"/>
              <w:rPr>
                <w:sz w:val="24"/>
              </w:rPr>
            </w:pPr>
            <w:r>
              <w:rPr>
                <w:sz w:val="24"/>
              </w:rPr>
              <w:t>32</w:t>
            </w:r>
          </w:p>
        </w:tc>
      </w:tr>
      <w:tr w:rsidR="00342D0F" w14:paraId="378687E8" w14:textId="77777777" w:rsidTr="00342D0F">
        <w:tc>
          <w:tcPr>
            <w:tcW w:w="2454" w:type="dxa"/>
            <w:tcBorders>
              <w:bottom w:val="single" w:sz="12" w:space="0" w:color="auto"/>
            </w:tcBorders>
          </w:tcPr>
          <w:p w14:paraId="621CA216" w14:textId="77777777" w:rsidR="00342D0F" w:rsidRDefault="00342D0F" w:rsidP="00342D0F">
            <w:pPr>
              <w:rPr>
                <w:sz w:val="24"/>
              </w:rPr>
            </w:pPr>
            <w:r>
              <w:rPr>
                <w:sz w:val="24"/>
              </w:rPr>
              <w:t>Other group members</w:t>
            </w:r>
          </w:p>
        </w:tc>
        <w:tc>
          <w:tcPr>
            <w:tcW w:w="2454" w:type="dxa"/>
            <w:tcBorders>
              <w:bottom w:val="single" w:sz="12" w:space="0" w:color="auto"/>
            </w:tcBorders>
          </w:tcPr>
          <w:p w14:paraId="7F83069C" w14:textId="77777777" w:rsidR="00342D0F" w:rsidRDefault="00342D0F" w:rsidP="00342D0F">
            <w:pPr>
              <w:jc w:val="right"/>
              <w:rPr>
                <w:sz w:val="24"/>
              </w:rPr>
            </w:pPr>
            <w:r>
              <w:rPr>
                <w:sz w:val="24"/>
              </w:rPr>
              <w:t>0</w:t>
            </w:r>
          </w:p>
        </w:tc>
        <w:tc>
          <w:tcPr>
            <w:tcW w:w="2454" w:type="dxa"/>
            <w:tcBorders>
              <w:bottom w:val="single" w:sz="12" w:space="0" w:color="auto"/>
            </w:tcBorders>
          </w:tcPr>
          <w:p w14:paraId="60A1844F" w14:textId="77777777" w:rsidR="00342D0F" w:rsidRDefault="00342D0F" w:rsidP="00697494">
            <w:pPr>
              <w:spacing w:after="60"/>
              <w:jc w:val="right"/>
              <w:rPr>
                <w:sz w:val="24"/>
              </w:rPr>
            </w:pPr>
            <w:r>
              <w:rPr>
                <w:sz w:val="24"/>
              </w:rPr>
              <w:t>7</w:t>
            </w:r>
          </w:p>
        </w:tc>
        <w:tc>
          <w:tcPr>
            <w:tcW w:w="2454" w:type="dxa"/>
            <w:tcBorders>
              <w:bottom w:val="single" w:sz="12" w:space="0" w:color="auto"/>
            </w:tcBorders>
          </w:tcPr>
          <w:p w14:paraId="2F5DAB6F" w14:textId="77777777" w:rsidR="00342D0F" w:rsidRDefault="00342D0F" w:rsidP="00342D0F">
            <w:pPr>
              <w:jc w:val="right"/>
              <w:rPr>
                <w:sz w:val="24"/>
              </w:rPr>
            </w:pPr>
            <w:r>
              <w:rPr>
                <w:sz w:val="24"/>
              </w:rPr>
              <w:t>1</w:t>
            </w:r>
          </w:p>
        </w:tc>
      </w:tr>
    </w:tbl>
    <w:p w14:paraId="3F18AD2B" w14:textId="77777777" w:rsidR="00342D0F" w:rsidRDefault="00342D0F" w:rsidP="00342D0F">
      <w:pPr>
        <w:rPr>
          <w:sz w:val="24"/>
        </w:rPr>
      </w:pPr>
    </w:p>
    <w:p w14:paraId="30B814F4" w14:textId="24B7FC3B" w:rsidR="00342D0F" w:rsidRDefault="008D6B0A" w:rsidP="008D6B0A">
      <w:pPr>
        <w:pStyle w:val="Heading1"/>
      </w:pPr>
      <w:r>
        <w:t>ENDNOTES</w:t>
      </w:r>
    </w:p>
    <w:sectPr w:rsidR="00342D0F" w:rsidSect="0084143E">
      <w:footerReference w:type="even" r:id="rId12"/>
      <w:footerReference w:type="default" r:id="rId13"/>
      <w:endnotePr>
        <w:numFmt w:val="decimal"/>
      </w:endnotePr>
      <w:pgSz w:w="12240" w:h="15840"/>
      <w:pgMar w:top="1382" w:right="1325" w:bottom="1066" w:left="13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74216" w14:textId="77777777" w:rsidR="002B63A3" w:rsidRDefault="002B63A3"/>
  </w:endnote>
  <w:endnote w:type="continuationSeparator" w:id="0">
    <w:p w14:paraId="1AEEA4BA" w14:textId="77777777" w:rsidR="002B63A3" w:rsidRDefault="002B63A3">
      <w:r>
        <w:continuationSeparator/>
      </w:r>
    </w:p>
  </w:endnote>
  <w:endnote w:id="1">
    <w:p w14:paraId="425D890A" w14:textId="614ED8D5" w:rsidR="00A1412E" w:rsidRDefault="00A1412E" w:rsidP="00EA1C55">
      <w:pPr>
        <w:pStyle w:val="EndnoteText"/>
        <w:rPr>
          <w:sz w:val="24"/>
          <w:szCs w:val="24"/>
        </w:rPr>
      </w:pPr>
      <w:r w:rsidRPr="00A1412E">
        <w:rPr>
          <w:rStyle w:val="EndnoteReference"/>
          <w:sz w:val="24"/>
          <w:szCs w:val="24"/>
        </w:rPr>
        <w:endnoteRef/>
      </w:r>
      <w:r w:rsidRPr="00A1412E">
        <w:rPr>
          <w:sz w:val="24"/>
          <w:szCs w:val="24"/>
        </w:rPr>
        <w:t xml:space="preserve"> The FRC Corporate Governance Code in the UK, for example, states that boards should possess “gender, social and ethnic backgrounds, cognitive and personal strengths”.</w:t>
      </w:r>
    </w:p>
    <w:p w14:paraId="28E13D98" w14:textId="77777777" w:rsidR="00EE5634" w:rsidRPr="00A1412E" w:rsidRDefault="00EE5634" w:rsidP="00EA1C55">
      <w:pPr>
        <w:pStyle w:val="EndnoteText"/>
        <w:rPr>
          <w:sz w:val="24"/>
          <w:szCs w:val="24"/>
        </w:rPr>
      </w:pPr>
    </w:p>
  </w:endnote>
  <w:endnote w:id="2">
    <w:p w14:paraId="6E9736DB" w14:textId="6404BE5E" w:rsidR="00A1412E" w:rsidRDefault="00A1412E" w:rsidP="00EA1C55">
      <w:pPr>
        <w:pStyle w:val="EndnoteText"/>
        <w:rPr>
          <w:sz w:val="24"/>
          <w:szCs w:val="24"/>
        </w:rPr>
      </w:pPr>
      <w:r>
        <w:rPr>
          <w:rStyle w:val="EndnoteReference"/>
        </w:rPr>
        <w:endnoteRef/>
      </w:r>
      <w:r>
        <w:t xml:space="preserve"> </w:t>
      </w:r>
      <w:r w:rsidRPr="008D6B0A">
        <w:rPr>
          <w:sz w:val="24"/>
          <w:szCs w:val="24"/>
        </w:rPr>
        <w:t>Reinforcement learning has long been used as a model of learning in psychology (for seminal early work, see Thorndike, 1911), and has since been widely adopted in a number of different areas (see Foster and Young, 2006; Young, 1998; Skyrms, 2002, 2008, 2010).</w:t>
      </w:r>
    </w:p>
    <w:p w14:paraId="2508074C" w14:textId="77777777" w:rsidR="00EE5634" w:rsidRPr="008D6B0A" w:rsidRDefault="00EE5634" w:rsidP="00EA1C55">
      <w:pPr>
        <w:pStyle w:val="EndnoteText"/>
        <w:rPr>
          <w:sz w:val="24"/>
          <w:szCs w:val="24"/>
        </w:rPr>
      </w:pPr>
    </w:p>
  </w:endnote>
  <w:endnote w:id="3">
    <w:p w14:paraId="3A205397" w14:textId="400CBEB5" w:rsidR="00A1412E" w:rsidRDefault="00A1412E" w:rsidP="00EA1C55">
      <w:pPr>
        <w:pStyle w:val="EndnoteText"/>
        <w:rPr>
          <w:sz w:val="24"/>
          <w:szCs w:val="24"/>
        </w:rPr>
      </w:pPr>
      <w:r w:rsidRPr="008D6B0A">
        <w:rPr>
          <w:rStyle w:val="EndnoteReference"/>
          <w:sz w:val="24"/>
          <w:szCs w:val="24"/>
        </w:rPr>
        <w:endnoteRef/>
      </w:r>
      <w:r w:rsidRPr="008D6B0A">
        <w:rPr>
          <w:sz w:val="24"/>
          <w:szCs w:val="24"/>
        </w:rPr>
        <w:t xml:space="preserve"> If the 90%–10% composition is achieved with 9 red balls and 1 green ball, adding a single green ball to the urn amounts to a shift in the degree of belief in the </w:t>
      </w:r>
      <w:r w:rsidRPr="008D6B0A">
        <w:rPr>
          <w:i/>
          <w:iCs/>
          <w:sz w:val="24"/>
          <w:szCs w:val="24"/>
        </w:rPr>
        <w:t>Pro</w:t>
      </w:r>
      <w:r w:rsidRPr="008D6B0A">
        <w:rPr>
          <w:sz w:val="24"/>
          <w:szCs w:val="24"/>
        </w:rPr>
        <w:t xml:space="preserve"> position from </w:t>
      </w:r>
      <m:oMath>
        <m:r>
          <w:rPr>
            <w:rFonts w:ascii="Cambria Math" w:hAnsi="Cambria Math"/>
            <w:sz w:val="24"/>
            <w:szCs w:val="24"/>
          </w:rPr>
          <m:t>1/10</m:t>
        </m:r>
        <m:r>
          <m:rPr>
            <m:sty m:val="p"/>
          </m:rPr>
          <w:rPr>
            <w:rFonts w:ascii="Cambria Math" w:hAnsi="Cambria Math"/>
            <w:sz w:val="24"/>
            <w:szCs w:val="24"/>
          </w:rPr>
          <m:t>=</m:t>
        </m:r>
        <m:r>
          <w:rPr>
            <w:rFonts w:ascii="Cambria Math" w:hAnsi="Cambria Math"/>
            <w:sz w:val="24"/>
            <w:szCs w:val="24"/>
          </w:rPr>
          <m:t>10</m:t>
        </m:r>
        <m:r>
          <m:rPr>
            <m:sty m:val="p"/>
          </m:rPr>
          <w:rPr>
            <w:rFonts w:ascii="Cambria Math" w:hAnsi="Cambria Math"/>
            <w:sz w:val="24"/>
            <w:szCs w:val="24"/>
          </w:rPr>
          <m:t>%</m:t>
        </m:r>
      </m:oMath>
      <w:r w:rsidRPr="008D6B0A">
        <w:rPr>
          <w:sz w:val="24"/>
          <w:szCs w:val="24"/>
        </w:rPr>
        <w:t xml:space="preserve"> to </w:t>
      </w:r>
      <m:oMath>
        <m:r>
          <w:rPr>
            <w:rFonts w:ascii="Cambria Math" w:hAnsi="Cambria Math"/>
            <w:sz w:val="24"/>
            <w:szCs w:val="24"/>
          </w:rPr>
          <m:t>2/11</m:t>
        </m:r>
        <m:r>
          <m:rPr>
            <m:sty m:val="p"/>
          </m:rPr>
          <w:rPr>
            <w:rFonts w:ascii="Cambria Math" w:hAnsi="Cambria Math"/>
            <w:sz w:val="24"/>
            <w:szCs w:val="24"/>
          </w:rPr>
          <m:t>≈</m:t>
        </m:r>
        <m:r>
          <w:rPr>
            <w:rFonts w:ascii="Cambria Math" w:hAnsi="Cambria Math"/>
            <w:sz w:val="24"/>
            <w:szCs w:val="24"/>
          </w:rPr>
          <m:t>18</m:t>
        </m:r>
        <m:r>
          <m:rPr>
            <m:sty m:val="p"/>
          </m:rPr>
          <w:rPr>
            <w:rFonts w:ascii="Cambria Math" w:hAnsi="Cambria Math"/>
            <w:sz w:val="24"/>
            <w:szCs w:val="24"/>
          </w:rPr>
          <m:t>%</m:t>
        </m:r>
      </m:oMath>
      <w:r w:rsidRPr="008D6B0A">
        <w:rPr>
          <w:sz w:val="24"/>
          <w:szCs w:val="24"/>
        </w:rPr>
        <w:t xml:space="preserve">. However, if the 90%–10% composition is achieved with 90 red balls and 10 green balls, adding a single green ball to the urn only results in a shift in degree of belief from </w:t>
      </w:r>
      <m:oMath>
        <m:r>
          <w:rPr>
            <w:rFonts w:ascii="Cambria Math" w:hAnsi="Cambria Math"/>
            <w:sz w:val="24"/>
            <w:szCs w:val="24"/>
          </w:rPr>
          <m:t>10/100</m:t>
        </m:r>
        <m:r>
          <m:rPr>
            <m:sty m:val="p"/>
          </m:rPr>
          <w:rPr>
            <w:rFonts w:ascii="Cambria Math" w:hAnsi="Cambria Math"/>
            <w:sz w:val="24"/>
            <w:szCs w:val="24"/>
          </w:rPr>
          <m:t>=</m:t>
        </m:r>
        <m:r>
          <w:rPr>
            <w:rFonts w:ascii="Cambria Math" w:hAnsi="Cambria Math"/>
            <w:sz w:val="24"/>
            <w:szCs w:val="24"/>
          </w:rPr>
          <m:t>10</m:t>
        </m:r>
        <m:r>
          <m:rPr>
            <m:sty m:val="p"/>
          </m:rPr>
          <w:rPr>
            <w:rFonts w:ascii="Cambria Math" w:hAnsi="Cambria Math"/>
            <w:sz w:val="24"/>
            <w:szCs w:val="24"/>
          </w:rPr>
          <m:t>%</m:t>
        </m:r>
      </m:oMath>
      <w:r w:rsidRPr="008D6B0A">
        <w:rPr>
          <w:sz w:val="24"/>
          <w:szCs w:val="24"/>
        </w:rPr>
        <w:t xml:space="preserve"> to </w:t>
      </w:r>
      <m:oMath>
        <m:r>
          <w:rPr>
            <w:rFonts w:ascii="Cambria Math" w:hAnsi="Cambria Math"/>
            <w:sz w:val="24"/>
            <w:szCs w:val="24"/>
          </w:rPr>
          <m:t>11/101</m:t>
        </m:r>
        <m:r>
          <m:rPr>
            <m:sty m:val="p"/>
          </m:rPr>
          <w:rPr>
            <w:rFonts w:ascii="Cambria Math" w:hAnsi="Cambria Math"/>
            <w:sz w:val="24"/>
            <w:szCs w:val="24"/>
          </w:rPr>
          <m:t>≈</m:t>
        </m:r>
        <m:r>
          <w:rPr>
            <w:rFonts w:ascii="Cambria Math" w:hAnsi="Cambria Math"/>
            <w:sz w:val="24"/>
            <w:szCs w:val="24"/>
          </w:rPr>
          <m:t>10.9</m:t>
        </m:r>
        <m:r>
          <m:rPr>
            <m:sty m:val="p"/>
          </m:rPr>
          <w:rPr>
            <w:rFonts w:ascii="Cambria Math" w:hAnsi="Cambria Math"/>
            <w:sz w:val="24"/>
            <w:szCs w:val="24"/>
          </w:rPr>
          <m:t>%</m:t>
        </m:r>
      </m:oMath>
      <w:r w:rsidRPr="008D6B0A">
        <w:rPr>
          <w:sz w:val="24"/>
          <w:szCs w:val="24"/>
        </w:rPr>
        <w:t>.</w:t>
      </w:r>
    </w:p>
    <w:p w14:paraId="43FD0643" w14:textId="77777777" w:rsidR="00EE5634" w:rsidRPr="008D6B0A" w:rsidRDefault="00EE5634" w:rsidP="00EA1C55">
      <w:pPr>
        <w:pStyle w:val="EndnoteText"/>
        <w:rPr>
          <w:sz w:val="24"/>
          <w:szCs w:val="24"/>
          <w:lang w:val="en-GB"/>
        </w:rPr>
      </w:pPr>
    </w:p>
  </w:endnote>
  <w:endnote w:id="4">
    <w:p w14:paraId="25E39CF6" w14:textId="564BACA0" w:rsidR="00A1412E" w:rsidRDefault="00A1412E" w:rsidP="00EA1C55">
      <w:pPr>
        <w:pStyle w:val="EndnoteText"/>
        <w:rPr>
          <w:sz w:val="24"/>
          <w:szCs w:val="24"/>
        </w:rPr>
      </w:pPr>
      <w:r w:rsidRPr="008D6B0A">
        <w:rPr>
          <w:rStyle w:val="EndnoteReference"/>
          <w:sz w:val="24"/>
          <w:szCs w:val="24"/>
        </w:rPr>
        <w:endnoteRef/>
      </w:r>
      <w:r w:rsidRPr="008D6B0A">
        <w:rPr>
          <w:sz w:val="24"/>
          <w:szCs w:val="24"/>
        </w:rPr>
        <w:t xml:space="preserve"> Although the number of pairwise conversational exchanges exceeds that which one would expect to occur in a real board meeting, this ensure</w:t>
      </w:r>
      <w:r w:rsidR="00EE5634">
        <w:rPr>
          <w:sz w:val="24"/>
          <w:szCs w:val="24"/>
        </w:rPr>
        <w:t>s</w:t>
      </w:r>
      <w:r w:rsidRPr="008D6B0A">
        <w:rPr>
          <w:sz w:val="24"/>
          <w:szCs w:val="24"/>
        </w:rPr>
        <w:t xml:space="preserve"> a reasonable degree of convergence towards consensus. In real board meetings, more rapid convergence is possible, but such rapid convergence will be due </w:t>
      </w:r>
      <w:r w:rsidR="009C26FC">
        <w:rPr>
          <w:sz w:val="24"/>
          <w:szCs w:val="24"/>
        </w:rPr>
        <w:t>to</w:t>
      </w:r>
      <w:r w:rsidRPr="008D6B0A">
        <w:rPr>
          <w:sz w:val="24"/>
          <w:szCs w:val="24"/>
        </w:rPr>
        <w:t xml:space="preserve"> informational or psychological factors which are not part of the current model. </w:t>
      </w:r>
      <w:r w:rsidR="009C26FC">
        <w:rPr>
          <w:sz w:val="24"/>
          <w:szCs w:val="24"/>
        </w:rPr>
        <w:t>Including</w:t>
      </w:r>
      <w:r w:rsidRPr="008D6B0A">
        <w:rPr>
          <w:sz w:val="24"/>
          <w:szCs w:val="24"/>
        </w:rPr>
        <w:t xml:space="preserve"> such factors in the present model would increase model complexity</w:t>
      </w:r>
      <w:r w:rsidR="005F47AE">
        <w:rPr>
          <w:sz w:val="24"/>
          <w:szCs w:val="24"/>
        </w:rPr>
        <w:t>,</w:t>
      </w:r>
      <w:r w:rsidRPr="008D6B0A">
        <w:rPr>
          <w:sz w:val="24"/>
          <w:szCs w:val="24"/>
        </w:rPr>
        <w:t xml:space="preserve"> without appropriate empirical justification, for a minimal gain in potential explanatory power.</w:t>
      </w:r>
    </w:p>
    <w:p w14:paraId="6288BEBB" w14:textId="3309F176" w:rsidR="00090D50" w:rsidRDefault="00090D50" w:rsidP="00EA1C55">
      <w:pPr>
        <w:pStyle w:val="EndnoteText"/>
        <w:rPr>
          <w:sz w:val="24"/>
          <w:szCs w:val="24"/>
        </w:rPr>
      </w:pPr>
    </w:p>
    <w:p w14:paraId="1F811A6E" w14:textId="66D8591D" w:rsidR="00090D50" w:rsidRPr="006E244A" w:rsidRDefault="00090D50" w:rsidP="006E244A">
      <w:pPr>
        <w:spacing w:before="106"/>
        <w:ind w:left="475" w:right="475"/>
        <w:jc w:val="center"/>
        <w:rPr>
          <w:b/>
          <w:sz w:val="24"/>
        </w:rPr>
      </w:pPr>
      <w:r>
        <w:rPr>
          <w:b/>
          <w:sz w:val="24"/>
        </w:rPr>
        <w:t>REFERENCES AVAILABLE FROM THE AUTHORS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5997664"/>
      <w:docPartObj>
        <w:docPartGallery w:val="Page Numbers (Bottom of Page)"/>
        <w:docPartUnique/>
      </w:docPartObj>
    </w:sdtPr>
    <w:sdtEndPr>
      <w:rPr>
        <w:rStyle w:val="PageNumber"/>
      </w:rPr>
    </w:sdtEndPr>
    <w:sdtContent>
      <w:p w14:paraId="30273520" w14:textId="77777777" w:rsidR="00D25090" w:rsidRDefault="00D25090" w:rsidP="00761B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2DC917" w14:textId="77777777" w:rsidR="00D25090" w:rsidRDefault="00D25090" w:rsidP="00D2509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9033778"/>
      <w:docPartObj>
        <w:docPartGallery w:val="Page Numbers (Bottom of Page)"/>
        <w:docPartUnique/>
      </w:docPartObj>
    </w:sdtPr>
    <w:sdtEndPr>
      <w:rPr>
        <w:rStyle w:val="PageNumber"/>
      </w:rPr>
    </w:sdtEndPr>
    <w:sdtContent>
      <w:p w14:paraId="49FB3651" w14:textId="77777777" w:rsidR="00D25090" w:rsidRDefault="00D25090" w:rsidP="00761B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55FA42E" w14:textId="77777777" w:rsidR="00D66AD3" w:rsidRDefault="005B7018" w:rsidP="00D25090">
    <w:pPr>
      <w:pStyle w:val="BodyText"/>
      <w:ind w:right="360"/>
      <w:rPr>
        <w:sz w:val="20"/>
      </w:rPr>
    </w:pPr>
    <w:r>
      <w:rPr>
        <w:noProof/>
      </w:rPr>
      <mc:AlternateContent>
        <mc:Choice Requires="wps">
          <w:drawing>
            <wp:anchor distT="0" distB="0" distL="114300" distR="114300" simplePos="0" relativeHeight="251657728" behindDoc="1" locked="0" layoutInCell="1" allowOverlap="1" wp14:anchorId="13DDAC10" wp14:editId="3A1E9597">
              <wp:simplePos x="0" y="0"/>
              <wp:positionH relativeFrom="page">
                <wp:posOffset>3810000</wp:posOffset>
              </wp:positionH>
              <wp:positionV relativeFrom="page">
                <wp:posOffset>9370695</wp:posOffset>
              </wp:positionV>
              <wp:extent cx="165100" cy="208915"/>
              <wp:effectExtent l="0" t="0" r="0" b="6985"/>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1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FF5C" w14:textId="77777777" w:rsidR="00D66AD3" w:rsidRDefault="00B04FC3" w:rsidP="00AA0EC5">
                          <w:pPr>
                            <w:pStyle w:val="BodyText"/>
                          </w:pPr>
                          <w:r>
                            <w:rPr>
                              <w:w w:val="99"/>
                            </w:rPr>
                            <w:fldChar w:fldCharType="begin"/>
                          </w:r>
                          <w:r>
                            <w:rPr>
                              <w:w w:val="99"/>
                            </w:rPr>
                            <w:instrText xml:space="preserve"> PAGE </w:instrText>
                          </w:r>
                          <w:r>
                            <w:rPr>
                              <w:w w:val="99"/>
                            </w:rPr>
                            <w:fldChar w:fldCharType="separate"/>
                          </w:r>
                          <w:r>
                            <w:rPr>
                              <w:w w:val="99"/>
                            </w:rPr>
                            <w:t>1</w:t>
                          </w:r>
                          <w:r>
                            <w:rPr>
                              <w:w w:val="9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3DDAC10" id="_x0000_t202" coordsize="21600,21600" o:spt="202" path="m,l,21600r21600,l21600,xe">
              <v:stroke joinstyle="miter"/>
              <v:path gradientshapeok="t" o:connecttype="rect"/>
            </v:shapetype>
            <v:shape id="docshape1" o:spid="_x0000_s1026" type="#_x0000_t202" style="position:absolute;left:0;text-align:left;margin-left:300pt;margin-top:737.85pt;width:13pt;height:16.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" filled="f" stroked="f">
              <v:path arrowok="t"/>
              <v:textbox inset="0,0,0,0">
                <w:txbxContent>
                  <w:p w14:paraId="0AB6FF5C" w14:textId="77777777" w:rsidR="00D66AD3" w:rsidRDefault="00B04FC3" w:rsidP="00AA0EC5">
                    <w:pPr>
                      <w:pStyle w:val="BodyText"/>
                    </w:pPr>
                    <w:r>
                      <w:rPr>
                        <w:w w:val="99"/>
                      </w:rPr>
                      <w:fldChar w:fldCharType="begin"/>
                    </w:r>
                    <w:r>
                      <w:rPr>
                        <w:w w:val="99"/>
                      </w:rPr>
                      <w:instrText xml:space="preserve"> PAGE </w:instrText>
                    </w:r>
                    <w:r>
                      <w:rPr>
                        <w:w w:val="99"/>
                      </w:rPr>
                      <w:fldChar w:fldCharType="separate"/>
                    </w:r>
                    <w:r>
                      <w:rPr>
                        <w:w w:val="99"/>
                      </w:rPr>
                      <w:t>1</w:t>
                    </w:r>
                    <w:r>
                      <w:rPr>
                        <w:w w:val="9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AFCBC" w14:textId="77777777" w:rsidR="002B63A3" w:rsidRDefault="002B63A3">
      <w:r>
        <w:separator/>
      </w:r>
    </w:p>
  </w:footnote>
  <w:footnote w:type="continuationSeparator" w:id="0">
    <w:p w14:paraId="760FB7ED" w14:textId="77777777" w:rsidR="002B63A3" w:rsidRDefault="002B6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35D35"/>
    <w:multiLevelType w:val="hybridMultilevel"/>
    <w:tmpl w:val="0CD48138"/>
    <w:lvl w:ilvl="0" w:tplc="C08440E0">
      <w:start w:val="1"/>
      <w:numFmt w:val="decimal"/>
      <w:lvlText w:val="%1."/>
      <w:lvlJc w:val="left"/>
      <w:pPr>
        <w:ind w:left="467" w:hanging="348"/>
      </w:pPr>
      <w:rPr>
        <w:rFonts w:ascii="Times New Roman" w:eastAsia="Times New Roman" w:hAnsi="Times New Roman" w:cs="Times New Roman" w:hint="default"/>
        <w:b/>
        <w:bCs/>
        <w:i w:val="0"/>
        <w:iCs w:val="0"/>
        <w:w w:val="102"/>
        <w:sz w:val="28"/>
        <w:szCs w:val="28"/>
      </w:rPr>
    </w:lvl>
    <w:lvl w:ilvl="1" w:tplc="3C16756E">
      <w:numFmt w:val="bullet"/>
      <w:lvlText w:val="•"/>
      <w:lvlJc w:val="left"/>
      <w:pPr>
        <w:ind w:left="760" w:hanging="348"/>
      </w:pPr>
      <w:rPr>
        <w:rFonts w:hint="default"/>
      </w:rPr>
    </w:lvl>
    <w:lvl w:ilvl="2" w:tplc="7638DF4A">
      <w:numFmt w:val="bullet"/>
      <w:lvlText w:val="•"/>
      <w:lvlJc w:val="left"/>
      <w:pPr>
        <w:ind w:left="1008" w:hanging="348"/>
      </w:pPr>
      <w:rPr>
        <w:rFonts w:hint="default"/>
      </w:rPr>
    </w:lvl>
    <w:lvl w:ilvl="3" w:tplc="BAE21F78">
      <w:numFmt w:val="bullet"/>
      <w:lvlText w:val="•"/>
      <w:lvlJc w:val="left"/>
      <w:pPr>
        <w:ind w:left="1257" w:hanging="348"/>
      </w:pPr>
      <w:rPr>
        <w:rFonts w:hint="default"/>
      </w:rPr>
    </w:lvl>
    <w:lvl w:ilvl="4" w:tplc="A20E5E5C">
      <w:numFmt w:val="bullet"/>
      <w:lvlText w:val="•"/>
      <w:lvlJc w:val="left"/>
      <w:pPr>
        <w:ind w:left="1506" w:hanging="348"/>
      </w:pPr>
      <w:rPr>
        <w:rFonts w:hint="default"/>
      </w:rPr>
    </w:lvl>
    <w:lvl w:ilvl="5" w:tplc="6B8E8F92">
      <w:numFmt w:val="bullet"/>
      <w:lvlText w:val="•"/>
      <w:lvlJc w:val="left"/>
      <w:pPr>
        <w:ind w:left="1755" w:hanging="348"/>
      </w:pPr>
      <w:rPr>
        <w:rFonts w:hint="default"/>
      </w:rPr>
    </w:lvl>
    <w:lvl w:ilvl="6" w:tplc="587ABEC4">
      <w:numFmt w:val="bullet"/>
      <w:lvlText w:val="•"/>
      <w:lvlJc w:val="left"/>
      <w:pPr>
        <w:ind w:left="2004" w:hanging="348"/>
      </w:pPr>
      <w:rPr>
        <w:rFonts w:hint="default"/>
      </w:rPr>
    </w:lvl>
    <w:lvl w:ilvl="7" w:tplc="12A0DDAA">
      <w:numFmt w:val="bullet"/>
      <w:lvlText w:val="•"/>
      <w:lvlJc w:val="left"/>
      <w:pPr>
        <w:ind w:left="2252" w:hanging="348"/>
      </w:pPr>
      <w:rPr>
        <w:rFonts w:hint="default"/>
      </w:rPr>
    </w:lvl>
    <w:lvl w:ilvl="8" w:tplc="70DACE92">
      <w:numFmt w:val="bullet"/>
      <w:lvlText w:val="•"/>
      <w:lvlJc w:val="left"/>
      <w:pPr>
        <w:ind w:left="2501" w:hanging="348"/>
      </w:pPr>
      <w:rPr>
        <w:rFonts w:hint="default"/>
      </w:rPr>
    </w:lvl>
  </w:abstractNum>
  <w:num w:numId="1" w16cid:durableId="1862623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AD3"/>
    <w:rsid w:val="000037EE"/>
    <w:rsid w:val="000355BF"/>
    <w:rsid w:val="000770D1"/>
    <w:rsid w:val="00090D50"/>
    <w:rsid w:val="000D511E"/>
    <w:rsid w:val="00101835"/>
    <w:rsid w:val="00106D5A"/>
    <w:rsid w:val="0013518F"/>
    <w:rsid w:val="00150FFC"/>
    <w:rsid w:val="00174034"/>
    <w:rsid w:val="00185398"/>
    <w:rsid w:val="001C2763"/>
    <w:rsid w:val="001E2149"/>
    <w:rsid w:val="0021612E"/>
    <w:rsid w:val="00221DA0"/>
    <w:rsid w:val="00240BAF"/>
    <w:rsid w:val="002731EF"/>
    <w:rsid w:val="002969AE"/>
    <w:rsid w:val="002B63A3"/>
    <w:rsid w:val="002C4993"/>
    <w:rsid w:val="002C5967"/>
    <w:rsid w:val="002D2DC0"/>
    <w:rsid w:val="00302C43"/>
    <w:rsid w:val="00342D0F"/>
    <w:rsid w:val="00343DC0"/>
    <w:rsid w:val="00361F2A"/>
    <w:rsid w:val="003644AF"/>
    <w:rsid w:val="003A53AD"/>
    <w:rsid w:val="004443CF"/>
    <w:rsid w:val="004618A0"/>
    <w:rsid w:val="004E1040"/>
    <w:rsid w:val="004F678D"/>
    <w:rsid w:val="005039B1"/>
    <w:rsid w:val="005064B5"/>
    <w:rsid w:val="00542A03"/>
    <w:rsid w:val="00554513"/>
    <w:rsid w:val="00567B00"/>
    <w:rsid w:val="00576F97"/>
    <w:rsid w:val="005830CC"/>
    <w:rsid w:val="00596413"/>
    <w:rsid w:val="005B0CA7"/>
    <w:rsid w:val="005B7018"/>
    <w:rsid w:val="005B7B29"/>
    <w:rsid w:val="005C5E0C"/>
    <w:rsid w:val="005C63CC"/>
    <w:rsid w:val="005C7FA7"/>
    <w:rsid w:val="005D2059"/>
    <w:rsid w:val="005F47AE"/>
    <w:rsid w:val="0060042D"/>
    <w:rsid w:val="00605D01"/>
    <w:rsid w:val="006141C5"/>
    <w:rsid w:val="006258F1"/>
    <w:rsid w:val="0063751B"/>
    <w:rsid w:val="00641DFD"/>
    <w:rsid w:val="006456B0"/>
    <w:rsid w:val="00650D41"/>
    <w:rsid w:val="00671D78"/>
    <w:rsid w:val="00697494"/>
    <w:rsid w:val="006C5639"/>
    <w:rsid w:val="006C774C"/>
    <w:rsid w:val="006E244A"/>
    <w:rsid w:val="006F407F"/>
    <w:rsid w:val="0070482B"/>
    <w:rsid w:val="007202D3"/>
    <w:rsid w:val="00720D99"/>
    <w:rsid w:val="00720E36"/>
    <w:rsid w:val="00734A2B"/>
    <w:rsid w:val="0074667E"/>
    <w:rsid w:val="007A21E2"/>
    <w:rsid w:val="007D1AA0"/>
    <w:rsid w:val="007D3935"/>
    <w:rsid w:val="007D4253"/>
    <w:rsid w:val="007E1D04"/>
    <w:rsid w:val="007E7EA6"/>
    <w:rsid w:val="00811090"/>
    <w:rsid w:val="0081427E"/>
    <w:rsid w:val="00830A62"/>
    <w:rsid w:val="0084143E"/>
    <w:rsid w:val="00853B52"/>
    <w:rsid w:val="00875677"/>
    <w:rsid w:val="0088351F"/>
    <w:rsid w:val="008905E6"/>
    <w:rsid w:val="008A7575"/>
    <w:rsid w:val="008B7065"/>
    <w:rsid w:val="008D6B0A"/>
    <w:rsid w:val="008F054A"/>
    <w:rsid w:val="009304D1"/>
    <w:rsid w:val="009577B1"/>
    <w:rsid w:val="00996543"/>
    <w:rsid w:val="009B1F01"/>
    <w:rsid w:val="009C26FC"/>
    <w:rsid w:val="009C2DBB"/>
    <w:rsid w:val="009E2065"/>
    <w:rsid w:val="00A1412E"/>
    <w:rsid w:val="00A22863"/>
    <w:rsid w:val="00A82A7F"/>
    <w:rsid w:val="00A92ED3"/>
    <w:rsid w:val="00AA0EC5"/>
    <w:rsid w:val="00AA12A9"/>
    <w:rsid w:val="00AA2CFF"/>
    <w:rsid w:val="00AC1FA3"/>
    <w:rsid w:val="00AE27B5"/>
    <w:rsid w:val="00AE57E5"/>
    <w:rsid w:val="00B04FC3"/>
    <w:rsid w:val="00B21595"/>
    <w:rsid w:val="00B22614"/>
    <w:rsid w:val="00B4083A"/>
    <w:rsid w:val="00B50756"/>
    <w:rsid w:val="00BB7BE2"/>
    <w:rsid w:val="00BC2C90"/>
    <w:rsid w:val="00BF0021"/>
    <w:rsid w:val="00C57BFB"/>
    <w:rsid w:val="00C849E6"/>
    <w:rsid w:val="00C86C42"/>
    <w:rsid w:val="00CB236C"/>
    <w:rsid w:val="00CD4219"/>
    <w:rsid w:val="00CE11E5"/>
    <w:rsid w:val="00CE3C29"/>
    <w:rsid w:val="00CF247C"/>
    <w:rsid w:val="00D211A7"/>
    <w:rsid w:val="00D22519"/>
    <w:rsid w:val="00D25090"/>
    <w:rsid w:val="00D40FF9"/>
    <w:rsid w:val="00D6644E"/>
    <w:rsid w:val="00D66AD3"/>
    <w:rsid w:val="00D9413A"/>
    <w:rsid w:val="00D954BC"/>
    <w:rsid w:val="00D971D5"/>
    <w:rsid w:val="00DC2E18"/>
    <w:rsid w:val="00DC3261"/>
    <w:rsid w:val="00DC7EC3"/>
    <w:rsid w:val="00DE76A8"/>
    <w:rsid w:val="00DF20EA"/>
    <w:rsid w:val="00E811E6"/>
    <w:rsid w:val="00E84FD0"/>
    <w:rsid w:val="00E954B1"/>
    <w:rsid w:val="00EA1C55"/>
    <w:rsid w:val="00EA2E33"/>
    <w:rsid w:val="00EE3AE9"/>
    <w:rsid w:val="00EE4106"/>
    <w:rsid w:val="00EE5634"/>
    <w:rsid w:val="00F00CF1"/>
    <w:rsid w:val="00F12D23"/>
    <w:rsid w:val="00F63D8D"/>
    <w:rsid w:val="00F8646C"/>
    <w:rsid w:val="00FA1AE2"/>
    <w:rsid w:val="00FA28B9"/>
    <w:rsid w:val="00FC25A9"/>
    <w:rsid w:val="00FC7819"/>
    <w:rsid w:val="00FF1DC7"/>
    <w:rsid w:val="00FF5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4D84F"/>
  <w15:docId w15:val="{662BF938-3803-9541-BD04-FD24DC989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rsid w:val="00C57BFB"/>
    <w:pPr>
      <w:jc w:val="center"/>
      <w:outlineLvl w:val="0"/>
    </w:pPr>
    <w:rPr>
      <w:b/>
      <w:bCs/>
      <w:sz w:val="24"/>
      <w:szCs w:val="24"/>
    </w:rPr>
  </w:style>
  <w:style w:type="paragraph" w:styleId="Heading2">
    <w:name w:val="heading 2"/>
    <w:basedOn w:val="Normal"/>
    <w:uiPriority w:val="9"/>
    <w:unhideWhenUsed/>
    <w:qFormat/>
    <w:pPr>
      <w:ind w:left="475" w:right="475"/>
      <w:jc w:val="center"/>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A0EC5"/>
    <w:pPr>
      <w:spacing w:line="252" w:lineRule="auto"/>
      <w:ind w:firstLine="720"/>
    </w:pPr>
    <w:rPr>
      <w:sz w:val="24"/>
      <w:szCs w:val="24"/>
    </w:rPr>
  </w:style>
  <w:style w:type="paragraph" w:styleId="Title">
    <w:name w:val="Title"/>
    <w:basedOn w:val="Normal"/>
    <w:uiPriority w:val="10"/>
    <w:qFormat/>
    <w:pPr>
      <w:spacing w:before="99"/>
      <w:ind w:left="477" w:right="475"/>
      <w:jc w:val="center"/>
    </w:pPr>
    <w:rPr>
      <w:sz w:val="41"/>
      <w:szCs w:val="41"/>
    </w:rPr>
  </w:style>
  <w:style w:type="paragraph" w:styleId="ListParagraph">
    <w:name w:val="List Paragraph"/>
    <w:basedOn w:val="Normal"/>
    <w:uiPriority w:val="1"/>
    <w:qFormat/>
    <w:pPr>
      <w:ind w:left="467" w:hanging="349"/>
    </w:pPr>
  </w:style>
  <w:style w:type="paragraph" w:customStyle="1" w:styleId="TableParagraph">
    <w:name w:val="Table Paragraph"/>
    <w:basedOn w:val="Normal"/>
    <w:uiPriority w:val="1"/>
    <w:qFormat/>
    <w:pPr>
      <w:spacing w:before="2"/>
      <w:ind w:left="33"/>
    </w:pPr>
  </w:style>
  <w:style w:type="paragraph" w:styleId="FootnoteText">
    <w:name w:val="footnote text"/>
    <w:basedOn w:val="Normal"/>
    <w:link w:val="FootnoteTextChar"/>
    <w:uiPriority w:val="9"/>
    <w:unhideWhenUsed/>
    <w:qFormat/>
    <w:rsid w:val="00EA1C55"/>
    <w:rPr>
      <w:sz w:val="24"/>
      <w:szCs w:val="24"/>
    </w:rPr>
  </w:style>
  <w:style w:type="character" w:customStyle="1" w:styleId="FootnoteTextChar">
    <w:name w:val="Footnote Text Char"/>
    <w:basedOn w:val="DefaultParagraphFont"/>
    <w:link w:val="FootnoteText"/>
    <w:uiPriority w:val="9"/>
    <w:rsid w:val="00EA1C55"/>
    <w:rPr>
      <w:rFonts w:ascii="Times New Roman" w:eastAsia="Times New Roman" w:hAnsi="Times New Roman" w:cs="Times New Roman"/>
      <w:sz w:val="24"/>
      <w:szCs w:val="24"/>
    </w:rPr>
  </w:style>
  <w:style w:type="character" w:styleId="FootnoteReference">
    <w:name w:val="footnote reference"/>
    <w:basedOn w:val="DefaultParagraphFont"/>
    <w:unhideWhenUsed/>
    <w:rsid w:val="00AA0EC5"/>
    <w:rPr>
      <w:vertAlign w:val="superscript"/>
    </w:rPr>
  </w:style>
  <w:style w:type="paragraph" w:styleId="EndnoteText">
    <w:name w:val="endnote text"/>
    <w:basedOn w:val="Normal"/>
    <w:link w:val="EndnoteTextChar"/>
    <w:uiPriority w:val="99"/>
    <w:semiHidden/>
    <w:unhideWhenUsed/>
    <w:rsid w:val="00720D99"/>
    <w:rPr>
      <w:sz w:val="20"/>
      <w:szCs w:val="20"/>
    </w:rPr>
  </w:style>
  <w:style w:type="character" w:customStyle="1" w:styleId="EndnoteTextChar">
    <w:name w:val="Endnote Text Char"/>
    <w:basedOn w:val="DefaultParagraphFont"/>
    <w:link w:val="EndnoteText"/>
    <w:uiPriority w:val="99"/>
    <w:semiHidden/>
    <w:rsid w:val="00720D9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20D99"/>
    <w:rPr>
      <w:vertAlign w:val="superscript"/>
    </w:rPr>
  </w:style>
  <w:style w:type="character" w:styleId="Hyperlink">
    <w:name w:val="Hyperlink"/>
    <w:basedOn w:val="DefaultParagraphFont"/>
    <w:rsid w:val="008B7065"/>
    <w:rPr>
      <w:color w:val="4F81BD" w:themeColor="accent1"/>
    </w:rPr>
  </w:style>
  <w:style w:type="table" w:styleId="TableGrid">
    <w:name w:val="Table Grid"/>
    <w:basedOn w:val="TableNormal"/>
    <w:uiPriority w:val="39"/>
    <w:rsid w:val="0034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12D23"/>
    <w:rPr>
      <w:color w:val="808080"/>
    </w:rPr>
  </w:style>
  <w:style w:type="character" w:customStyle="1" w:styleId="BodyTextChar">
    <w:name w:val="Body Text Char"/>
    <w:basedOn w:val="DefaultParagraphFont"/>
    <w:link w:val="BodyText"/>
    <w:uiPriority w:val="1"/>
    <w:rsid w:val="00E954B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25090"/>
    <w:pPr>
      <w:tabs>
        <w:tab w:val="center" w:pos="4513"/>
        <w:tab w:val="right" w:pos="9026"/>
      </w:tabs>
    </w:pPr>
  </w:style>
  <w:style w:type="character" w:customStyle="1" w:styleId="FooterChar">
    <w:name w:val="Footer Char"/>
    <w:basedOn w:val="DefaultParagraphFont"/>
    <w:link w:val="Footer"/>
    <w:uiPriority w:val="99"/>
    <w:rsid w:val="00D25090"/>
    <w:rPr>
      <w:rFonts w:ascii="Times New Roman" w:eastAsia="Times New Roman" w:hAnsi="Times New Roman" w:cs="Times New Roman"/>
    </w:rPr>
  </w:style>
  <w:style w:type="character" w:styleId="PageNumber">
    <w:name w:val="page number"/>
    <w:basedOn w:val="DefaultParagraphFont"/>
    <w:uiPriority w:val="99"/>
    <w:semiHidden/>
    <w:unhideWhenUsed/>
    <w:rsid w:val="00D25090"/>
  </w:style>
  <w:style w:type="paragraph" w:styleId="Revision">
    <w:name w:val="Revision"/>
    <w:hidden/>
    <w:uiPriority w:val="99"/>
    <w:semiHidden/>
    <w:rsid w:val="00A1412E"/>
    <w:pPr>
      <w:widowControl/>
      <w:autoSpaceDE/>
      <w:autoSpaceDN/>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E27B5"/>
    <w:rPr>
      <w:sz w:val="16"/>
      <w:szCs w:val="16"/>
    </w:rPr>
  </w:style>
  <w:style w:type="paragraph" w:styleId="CommentText">
    <w:name w:val="annotation text"/>
    <w:basedOn w:val="Normal"/>
    <w:link w:val="CommentTextChar"/>
    <w:uiPriority w:val="99"/>
    <w:semiHidden/>
    <w:unhideWhenUsed/>
    <w:rsid w:val="00AE27B5"/>
    <w:rPr>
      <w:sz w:val="20"/>
      <w:szCs w:val="20"/>
    </w:rPr>
  </w:style>
  <w:style w:type="character" w:customStyle="1" w:styleId="CommentTextChar">
    <w:name w:val="Comment Text Char"/>
    <w:basedOn w:val="DefaultParagraphFont"/>
    <w:link w:val="CommentText"/>
    <w:uiPriority w:val="99"/>
    <w:semiHidden/>
    <w:rsid w:val="00AE27B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E27B5"/>
    <w:rPr>
      <w:b/>
      <w:bCs/>
    </w:rPr>
  </w:style>
  <w:style w:type="character" w:customStyle="1" w:styleId="CommentSubjectChar">
    <w:name w:val="Comment Subject Char"/>
    <w:basedOn w:val="CommentTextChar"/>
    <w:link w:val="CommentSubject"/>
    <w:uiPriority w:val="99"/>
    <w:semiHidden/>
    <w:rsid w:val="00AE27B5"/>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633051">
      <w:bodyDiv w:val="1"/>
      <w:marLeft w:val="0"/>
      <w:marRight w:val="0"/>
      <w:marTop w:val="0"/>
      <w:marBottom w:val="0"/>
      <w:divBdr>
        <w:top w:val="none" w:sz="0" w:space="0" w:color="auto"/>
        <w:left w:val="none" w:sz="0" w:space="0" w:color="auto"/>
        <w:bottom w:val="none" w:sz="0" w:space="0" w:color="auto"/>
        <w:right w:val="none" w:sz="0" w:space="0" w:color="auto"/>
      </w:divBdr>
    </w:div>
    <w:div w:id="521936128">
      <w:bodyDiv w:val="1"/>
      <w:marLeft w:val="0"/>
      <w:marRight w:val="0"/>
      <w:marTop w:val="0"/>
      <w:marBottom w:val="0"/>
      <w:divBdr>
        <w:top w:val="none" w:sz="0" w:space="0" w:color="auto"/>
        <w:left w:val="none" w:sz="0" w:space="0" w:color="auto"/>
        <w:bottom w:val="none" w:sz="0" w:space="0" w:color="auto"/>
        <w:right w:val="none" w:sz="0" w:space="0" w:color="auto"/>
      </w:divBdr>
    </w:div>
    <w:div w:id="1225139224">
      <w:bodyDiv w:val="1"/>
      <w:marLeft w:val="0"/>
      <w:marRight w:val="0"/>
      <w:marTop w:val="0"/>
      <w:marBottom w:val="0"/>
      <w:divBdr>
        <w:top w:val="none" w:sz="0" w:space="0" w:color="auto"/>
        <w:left w:val="none" w:sz="0" w:space="0" w:color="auto"/>
        <w:bottom w:val="none" w:sz="0" w:space="0" w:color="auto"/>
        <w:right w:val="none" w:sz="0" w:space="0" w:color="auto"/>
      </w:divBdr>
    </w:div>
    <w:div w:id="1710911312">
      <w:bodyDiv w:val="1"/>
      <w:marLeft w:val="0"/>
      <w:marRight w:val="0"/>
      <w:marTop w:val="0"/>
      <w:marBottom w:val="0"/>
      <w:divBdr>
        <w:top w:val="none" w:sz="0" w:space="0" w:color="auto"/>
        <w:left w:val="none" w:sz="0" w:space="0" w:color="auto"/>
        <w:bottom w:val="none" w:sz="0" w:space="0" w:color="auto"/>
        <w:right w:val="none" w:sz="0" w:space="0" w:color="auto"/>
      </w:divBdr>
    </w:div>
    <w:div w:id="1957366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B0503-90AD-C648-9662-E989E6F83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2765</Words>
  <Characters>15763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Morley,JE</cp:lastModifiedBy>
  <cp:revision>7</cp:revision>
  <dcterms:created xsi:type="dcterms:W3CDTF">2022-04-26T02:41:00Z</dcterms:created>
  <dcterms:modified xsi:type="dcterms:W3CDTF">2022-04-26T02:45:00Z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2022-04-22T00:00:00Z</vt:filetime>
  </property>
  <property fmtid="{D5CDD505-2E9C-101B-9397-08002B2CF9AE}" pid="3" name="Creator">
    <vt:lpwstr>TeX</vt:lpwstr>
  </property>
  <property fmtid="{D5CDD505-2E9C-101B-9397-08002B2CF9AE}" pid="4" name="LastSaved">
    <vt:filetime>2022-04-22T00:00:00Z</vt:filetime>
  </property>
</Properties>
</file>